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d4a3" w14:textId="dc4d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10 маусымдағы № 366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3-бөлімде:</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6998"/>
        <w:gridCol w:w="3958"/>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деген жолдар мынадай редакцияда жазылсын: </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6998"/>
        <w:gridCol w:w="3958"/>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нөмірі 28) тармақша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683"/>
        <w:gridCol w:w="5584"/>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