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6c9f" w14:textId="16c6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республикалық бюджеттің көрсеткіштерін түзету, 2019 жылғы бюджет қаражатының қалдықтары есебінен тиісті бюджеттік бағдарламалардың жылдық жоспарлы тағайындауларын ұлғайту және 2019 жылы республикалық бюджеттен бөлінген нысаналы даму трансферттерінің пайдаланылмаған (толық пайдаланылмаған) сомаларын 2020 жылы пайдалану (толық пайдалану)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29 қаңтардағы № 21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енгiзiледi.</w:t>
      </w:r>
    </w:p>
    <w:bookmarkStart w:name="z75"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2020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2019 жылғы республикалық бюджеттің бюджет қаражатының қалдықтары есебінен тиісті бюджеттік бағдарламаның жылдық жоспарлы тағайындаулары ұлғайтылсын.</w:t>
      </w:r>
    </w:p>
    <w:bookmarkEnd w:id="2"/>
    <w:bookmarkStart w:name="z4" w:id="3"/>
    <w:p>
      <w:pPr>
        <w:spacing w:after="0"/>
        <w:ind w:left="0"/>
        <w:jc w:val="both"/>
      </w:pPr>
      <w:r>
        <w:rPr>
          <w:rFonts w:ascii="Times New Roman"/>
          <w:b w:val="false"/>
          <w:i w:val="false"/>
          <w:color w:val="000000"/>
          <w:sz w:val="28"/>
        </w:rPr>
        <w:t xml:space="preserve">
      3.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2020 – 2022 жылдарға арналған республикалық бюджет, оның ішінде 2020 жылға мынадай:</w:t>
      </w:r>
    </w:p>
    <w:bookmarkEnd w:id="4"/>
    <w:bookmarkStart w:name="z7" w:id="5"/>
    <w:p>
      <w:pPr>
        <w:spacing w:after="0"/>
        <w:ind w:left="0"/>
        <w:jc w:val="both"/>
      </w:pPr>
      <w:r>
        <w:rPr>
          <w:rFonts w:ascii="Times New Roman"/>
          <w:b w:val="false"/>
          <w:i w:val="false"/>
          <w:color w:val="000000"/>
          <w:sz w:val="28"/>
        </w:rPr>
        <w:t>
      1) кірістер – 11 206 484 096 мың теңге, оның ішінде мыналар бойынша:</w:t>
      </w:r>
    </w:p>
    <w:bookmarkEnd w:id="5"/>
    <w:p>
      <w:pPr>
        <w:spacing w:after="0"/>
        <w:ind w:left="0"/>
        <w:jc w:val="both"/>
      </w:pPr>
      <w:r>
        <w:rPr>
          <w:rFonts w:ascii="Times New Roman"/>
          <w:b w:val="false"/>
          <w:i w:val="false"/>
          <w:color w:val="000000"/>
          <w:sz w:val="28"/>
        </w:rPr>
        <w:t>
      салықтық түсімдер бойынша – 7 960 584 715 мың теңге;</w:t>
      </w:r>
    </w:p>
    <w:p>
      <w:pPr>
        <w:spacing w:after="0"/>
        <w:ind w:left="0"/>
        <w:jc w:val="both"/>
      </w:pPr>
      <w:r>
        <w:rPr>
          <w:rFonts w:ascii="Times New Roman"/>
          <w:b w:val="false"/>
          <w:i w:val="false"/>
          <w:color w:val="000000"/>
          <w:sz w:val="28"/>
        </w:rPr>
        <w:t>
      салықтық емес түсімдер бойынша – 121 320 478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4 497 700 мың теңге;</w:t>
      </w:r>
    </w:p>
    <w:p>
      <w:pPr>
        <w:spacing w:after="0"/>
        <w:ind w:left="0"/>
        <w:jc w:val="both"/>
      </w:pPr>
      <w:r>
        <w:rPr>
          <w:rFonts w:ascii="Times New Roman"/>
          <w:b w:val="false"/>
          <w:i w:val="false"/>
          <w:color w:val="000000"/>
          <w:sz w:val="28"/>
        </w:rPr>
        <w:t>
      трансферттер түсімдері бойынша – 3 120 081 203 мың теңге;</w:t>
      </w:r>
    </w:p>
    <w:bookmarkStart w:name="z8" w:id="6"/>
    <w:p>
      <w:pPr>
        <w:spacing w:after="0"/>
        <w:ind w:left="0"/>
        <w:jc w:val="both"/>
      </w:pPr>
      <w:r>
        <w:rPr>
          <w:rFonts w:ascii="Times New Roman"/>
          <w:b w:val="false"/>
          <w:i w:val="false"/>
          <w:color w:val="000000"/>
          <w:sz w:val="28"/>
        </w:rPr>
        <w:t>
      2) шығындар – 12 472 425 180 мың теңге;</w:t>
      </w:r>
    </w:p>
    <w:bookmarkEnd w:id="6"/>
    <w:bookmarkStart w:name="z9" w:id="7"/>
    <w:p>
      <w:pPr>
        <w:spacing w:after="0"/>
        <w:ind w:left="0"/>
        <w:jc w:val="both"/>
      </w:pPr>
      <w:r>
        <w:rPr>
          <w:rFonts w:ascii="Times New Roman"/>
          <w:b w:val="false"/>
          <w:i w:val="false"/>
          <w:color w:val="000000"/>
          <w:sz w:val="28"/>
        </w:rPr>
        <w:t>
      3) таза бюджеттік кредиттеу – 196 473 831 мың теңге, оның ішінде:</w:t>
      </w:r>
    </w:p>
    <w:bookmarkEnd w:id="7"/>
    <w:p>
      <w:pPr>
        <w:spacing w:after="0"/>
        <w:ind w:left="0"/>
        <w:jc w:val="both"/>
      </w:pPr>
      <w:r>
        <w:rPr>
          <w:rFonts w:ascii="Times New Roman"/>
          <w:b w:val="false"/>
          <w:i w:val="false"/>
          <w:color w:val="000000"/>
          <w:sz w:val="28"/>
        </w:rPr>
        <w:t>
      бюджеттік кредиттер – 306 167 753 мың теңге;</w:t>
      </w:r>
    </w:p>
    <w:p>
      <w:pPr>
        <w:spacing w:after="0"/>
        <w:ind w:left="0"/>
        <w:jc w:val="both"/>
      </w:pPr>
      <w:r>
        <w:rPr>
          <w:rFonts w:ascii="Times New Roman"/>
          <w:b w:val="false"/>
          <w:i w:val="false"/>
          <w:color w:val="000000"/>
          <w:sz w:val="28"/>
        </w:rPr>
        <w:t>
      бюджеттік кредиттерді өтеу – 109 693 922 мың теңге;</w:t>
      </w:r>
    </w:p>
    <w:bookmarkStart w:name="z10" w:id="8"/>
    <w:p>
      <w:pPr>
        <w:spacing w:after="0"/>
        <w:ind w:left="0"/>
        <w:jc w:val="both"/>
      </w:pPr>
      <w:r>
        <w:rPr>
          <w:rFonts w:ascii="Times New Roman"/>
          <w:b w:val="false"/>
          <w:i w:val="false"/>
          <w:color w:val="000000"/>
          <w:sz w:val="28"/>
        </w:rPr>
        <w:t>
      4) қаржы активтерімен жасалатын операциялар бойынша сальдо – 135 898 818 мың теңге, оның ішінде:</w:t>
      </w:r>
    </w:p>
    <w:bookmarkEnd w:id="8"/>
    <w:p>
      <w:pPr>
        <w:spacing w:after="0"/>
        <w:ind w:left="0"/>
        <w:jc w:val="both"/>
      </w:pPr>
      <w:r>
        <w:rPr>
          <w:rFonts w:ascii="Times New Roman"/>
          <w:b w:val="false"/>
          <w:i w:val="false"/>
          <w:color w:val="000000"/>
          <w:sz w:val="28"/>
        </w:rPr>
        <w:t xml:space="preserve">
      қаржы активтерін сатып алу – 135 898 818 мың теңге; </w:t>
      </w:r>
    </w:p>
    <w:bookmarkStart w:name="z11" w:id="9"/>
    <w:p>
      <w:pPr>
        <w:spacing w:after="0"/>
        <w:ind w:left="0"/>
        <w:jc w:val="both"/>
      </w:pPr>
      <w:r>
        <w:rPr>
          <w:rFonts w:ascii="Times New Roman"/>
          <w:b w:val="false"/>
          <w:i w:val="false"/>
          <w:color w:val="000000"/>
          <w:sz w:val="28"/>
        </w:rPr>
        <w:t>
      5) бюджет тапшылығы – -1 598 313 733 мың теңге немесе елдің жалпы iшкi өнiміне қатысты 2,1 пайыз;</w:t>
      </w:r>
    </w:p>
    <w:bookmarkEnd w:id="9"/>
    <w:bookmarkStart w:name="z12" w:id="10"/>
    <w:p>
      <w:pPr>
        <w:spacing w:after="0"/>
        <w:ind w:left="0"/>
        <w:jc w:val="both"/>
      </w:pPr>
      <w:r>
        <w:rPr>
          <w:rFonts w:ascii="Times New Roman"/>
          <w:b w:val="false"/>
          <w:i w:val="false"/>
          <w:color w:val="000000"/>
          <w:sz w:val="28"/>
        </w:rPr>
        <w:t>
      6) бюджеттің мұнайға қатысты емес тапшылығы – -5 317 690 333 мың теңге немесе елдің жалпы ішкі өнімінің 7,1 пайызы;</w:t>
      </w:r>
    </w:p>
    <w:bookmarkEnd w:id="10"/>
    <w:bookmarkStart w:name="z13" w:id="11"/>
    <w:p>
      <w:pPr>
        <w:spacing w:after="0"/>
        <w:ind w:left="0"/>
        <w:jc w:val="both"/>
      </w:pPr>
      <w:r>
        <w:rPr>
          <w:rFonts w:ascii="Times New Roman"/>
          <w:b w:val="false"/>
          <w:i w:val="false"/>
          <w:color w:val="000000"/>
          <w:sz w:val="28"/>
        </w:rPr>
        <w:t>
      7) бюджет тапшылығын қаржыландыру – 1 598 313 733 мың теңге көлемінде атқаруға қабылдансын.</w:t>
      </w:r>
    </w:p>
    <w:bookmarkEnd w:id="11"/>
    <w:bookmarkStart w:name="z14"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859"/>
        <w:gridCol w:w="859"/>
        <w:gridCol w:w="859"/>
        <w:gridCol w:w="1987"/>
        <w:gridCol w:w="2443"/>
        <w:gridCol w:w="2443"/>
        <w:gridCol w:w="2443"/>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963 789 930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602 424 164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262 950 270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274 455 655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219 589 033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90 222 720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10 080 975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9 848 948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859"/>
        <w:gridCol w:w="859"/>
        <w:gridCol w:w="859"/>
        <w:gridCol w:w="1987"/>
        <w:gridCol w:w="2443"/>
        <w:gridCol w:w="2443"/>
        <w:gridCol w:w="2443"/>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973 433 797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602 424 164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262 950 270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284 099 522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219 589 033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90 222 720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17 626 186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17 394 159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8 722 272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71"/>
        <w:gridCol w:w="171"/>
        <w:gridCol w:w="171"/>
        <w:gridCol w:w="2799"/>
        <w:gridCol w:w="4235"/>
        <w:gridCol w:w="3802"/>
        <w:gridCol w:w="17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23 134 932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6 301 608</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71"/>
        <w:gridCol w:w="171"/>
        <w:gridCol w:w="171"/>
        <w:gridCol w:w="2799"/>
        <w:gridCol w:w="4235"/>
        <w:gridCol w:w="3802"/>
        <w:gridCol w:w="17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23 334 932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6 301 608</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768"/>
        <w:gridCol w:w="288"/>
        <w:gridCol w:w="288"/>
        <w:gridCol w:w="1679"/>
        <w:gridCol w:w="6411"/>
        <w:gridCol w:w="289"/>
        <w:gridCol w:w="28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768"/>
        <w:gridCol w:w="288"/>
        <w:gridCol w:w="288"/>
        <w:gridCol w:w="1679"/>
        <w:gridCol w:w="6411"/>
        <w:gridCol w:w="289"/>
        <w:gridCol w:w="28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1 786 339</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9"/>
    <w:p>
      <w:pPr>
        <w:spacing w:after="0"/>
        <w:ind w:left="0"/>
        <w:jc w:val="both"/>
      </w:pPr>
      <w:r>
        <w:rPr>
          <w:rFonts w:ascii="Times New Roman"/>
          <w:b w:val="false"/>
          <w:i w:val="false"/>
          <w:color w:val="000000"/>
          <w:sz w:val="28"/>
        </w:rPr>
        <w:t>
      мынадай мазмұндағы 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95"/>
        <w:gridCol w:w="1871"/>
        <w:gridCol w:w="1872"/>
        <w:gridCol w:w="4179"/>
        <w:gridCol w:w="3597"/>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№4 әкімшілік ғимаратының құрылысы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0"/>
    <w:p>
      <w:pPr>
        <w:spacing w:after="0"/>
        <w:ind w:left="0"/>
        <w:jc w:val="both"/>
      </w:pPr>
      <w:r>
        <w:rPr>
          <w:rFonts w:ascii="Times New Roman"/>
          <w:b w:val="false"/>
          <w:i w:val="false"/>
          <w:color w:val="000000"/>
          <w:sz w:val="28"/>
        </w:rPr>
        <w:t>
      015 "Құқықтық статистикалық ақпаратпен қамтамасыз етудің жедел жүйесін құру" деген бағдарламада:</w:t>
      </w:r>
    </w:p>
    <w:bookmarkEnd w:id="20"/>
    <w:bookmarkStart w:name="z23" w:id="21"/>
    <w:p>
      <w:pPr>
        <w:spacing w:after="0"/>
        <w:ind w:left="0"/>
        <w:jc w:val="both"/>
      </w:pPr>
      <w:r>
        <w:rPr>
          <w:rFonts w:ascii="Times New Roman"/>
          <w:b w:val="false"/>
          <w:i w:val="false"/>
          <w:color w:val="000000"/>
          <w:sz w:val="28"/>
        </w:rPr>
        <w:t>
      104 ""Электрондық іс" ақпараттық жүйесін құру" деген кіші бағдарламада:</w:t>
      </w:r>
    </w:p>
    <w:bookmarkEnd w:id="21"/>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495"/>
        <w:gridCol w:w="6932"/>
        <w:gridCol w:w="312"/>
        <w:gridCol w:w="313"/>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3"/>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724"/>
        <w:gridCol w:w="1724"/>
        <w:gridCol w:w="1724"/>
        <w:gridCol w:w="3092"/>
        <w:gridCol w:w="2859"/>
        <w:gridCol w:w="180"/>
        <w:gridCol w:w="180"/>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473"/>
        <w:gridCol w:w="1473"/>
        <w:gridCol w:w="153"/>
        <w:gridCol w:w="4393"/>
        <w:gridCol w:w="3801"/>
        <w:gridCol w:w="154"/>
        <w:gridCol w:w="15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24 438 075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18 885 239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473"/>
        <w:gridCol w:w="1473"/>
        <w:gridCol w:w="153"/>
        <w:gridCol w:w="4393"/>
        <w:gridCol w:w="3801"/>
        <w:gridCol w:w="154"/>
        <w:gridCol w:w="15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24 786 731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19 233 895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953 469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6"/>
    <w:p>
      <w:pPr>
        <w:spacing w:after="0"/>
        <w:ind w:left="0"/>
        <w:jc w:val="both"/>
      </w:pPr>
      <w:r>
        <w:rPr>
          <w:rFonts w:ascii="Times New Roman"/>
          <w:b w:val="false"/>
          <w:i w:val="false"/>
          <w:color w:val="000000"/>
          <w:sz w:val="28"/>
        </w:rPr>
        <w:t>
      мынадай мазмұндағы жолдармен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74"/>
        <w:gridCol w:w="174"/>
        <w:gridCol w:w="1669"/>
        <w:gridCol w:w="6553"/>
        <w:gridCol w:w="3207"/>
        <w:gridCol w:w="174"/>
        <w:gridCol w:w="175"/>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348 656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348 656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ұлттық тарихи-мәдени қорығы" РМҚК визит-орталығын салу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жатақханасымен Сапар орталығының құрылысы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"Әзірет Сұлтан" мемлекеттік тарихи-мәдени қорық-мұражайының "Сауран" қалашығы аймағына қызметкерлерге арналған жатақханасымен Сапар орталығының құрылысы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46"/>
        <w:gridCol w:w="946"/>
        <w:gridCol w:w="946"/>
        <w:gridCol w:w="948"/>
        <w:gridCol w:w="2688"/>
        <w:gridCol w:w="2688"/>
        <w:gridCol w:w="2442"/>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148 713 321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148 713 321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145 013 321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66 521 563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94 721 429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66 521 563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94 721 429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46"/>
        <w:gridCol w:w="946"/>
        <w:gridCol w:w="946"/>
        <w:gridCol w:w="948"/>
        <w:gridCol w:w="2688"/>
        <w:gridCol w:w="2688"/>
        <w:gridCol w:w="2442"/>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150 213 321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150 213 321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146 513 321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67 860 849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94 721 429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67 860 849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94 721 429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
        <w:gridCol w:w="121"/>
        <w:gridCol w:w="121"/>
        <w:gridCol w:w="5664"/>
        <w:gridCol w:w="3015"/>
        <w:gridCol w:w="3015"/>
        <w:gridCol w:w="122"/>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16 071 429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25 446 429</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0"/>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41"/>
        <w:gridCol w:w="141"/>
        <w:gridCol w:w="141"/>
        <w:gridCol w:w="8302"/>
        <w:gridCol w:w="3150"/>
        <w:gridCol w:w="142"/>
        <w:gridCol w:w="142"/>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"Жетiбай - Жаңаөзен - Кендерлі - Түркменстан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1 339 286</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31"/>
        <w:gridCol w:w="131"/>
        <w:gridCol w:w="1256"/>
        <w:gridCol w:w="1259"/>
        <w:gridCol w:w="3241"/>
        <w:gridCol w:w="3241"/>
        <w:gridCol w:w="2910"/>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10 831 536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15 278 571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10 831 536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15 278 571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2"/>
    <w:p>
      <w:pPr>
        <w:spacing w:after="0"/>
        <w:ind w:left="0"/>
        <w:jc w:val="both"/>
      </w:pPr>
      <w:r>
        <w:rPr>
          <w:rFonts w:ascii="Times New Roman"/>
          <w:b w:val="false"/>
          <w:i w:val="false"/>
          <w:color w:val="000000"/>
          <w:sz w:val="28"/>
        </w:rPr>
        <w:t>
      деген жолдар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31"/>
        <w:gridCol w:w="131"/>
        <w:gridCol w:w="1256"/>
        <w:gridCol w:w="1259"/>
        <w:gridCol w:w="3241"/>
        <w:gridCol w:w="3241"/>
        <w:gridCol w:w="2910"/>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10 992 250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15 278 571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10 992 250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15 278 571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5961"/>
        <w:gridCol w:w="2849"/>
        <w:gridCol w:w="2849"/>
        <w:gridCol w:w="129"/>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1 928 571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3 053 571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4"/>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48"/>
        <w:gridCol w:w="148"/>
        <w:gridCol w:w="148"/>
        <w:gridCol w:w="8678"/>
        <w:gridCol w:w="2733"/>
        <w:gridCol w:w="148"/>
        <w:gridCol w:w="149"/>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"Жетiбай - Жаңаөзен - Кендерлі - Түркменстан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160 714</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946"/>
        <w:gridCol w:w="946"/>
        <w:gridCol w:w="946"/>
        <w:gridCol w:w="1197"/>
        <w:gridCol w:w="2688"/>
        <w:gridCol w:w="2688"/>
        <w:gridCol w:w="2441"/>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200 834 650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132 196 240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38 919 467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61 419 627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38 829 263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23 919 467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7 545 211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7 545 211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7 545 211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7"/>
    <w:p>
      <w:pPr>
        <w:spacing w:after="0"/>
        <w:ind w:left="0"/>
        <w:jc w:val="both"/>
      </w:pPr>
      <w:r>
        <w:rPr>
          <w:rFonts w:ascii="Times New Roman"/>
          <w:b w:val="false"/>
          <w:i w:val="false"/>
          <w:color w:val="000000"/>
          <w:sz w:val="28"/>
        </w:rPr>
        <w:t>
      деген 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946"/>
        <w:gridCol w:w="946"/>
        <w:gridCol w:w="946"/>
        <w:gridCol w:w="1197"/>
        <w:gridCol w:w="2688"/>
        <w:gridCol w:w="2688"/>
        <w:gridCol w:w="2441"/>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191 190 783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132 196 240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38 919 467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51 775 760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38 829 263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23 919 467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87"/>
        <w:gridCol w:w="187"/>
        <w:gridCol w:w="187"/>
        <w:gridCol w:w="3069"/>
        <w:gridCol w:w="3459"/>
        <w:gridCol w:w="4169"/>
        <w:gridCol w:w="188"/>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826 575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1 130 775</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9"/>
    <w:p>
      <w:pPr>
        <w:spacing w:after="0"/>
        <w:ind w:left="0"/>
        <w:jc w:val="both"/>
      </w:pPr>
      <w:r>
        <w:rPr>
          <w:rFonts w:ascii="Times New Roman"/>
          <w:b w:val="false"/>
          <w:i w:val="false"/>
          <w:color w:val="000000"/>
          <w:sz w:val="28"/>
        </w:rPr>
        <w:t>
      деген 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87"/>
        <w:gridCol w:w="187"/>
        <w:gridCol w:w="187"/>
        <w:gridCol w:w="3069"/>
        <w:gridCol w:w="3459"/>
        <w:gridCol w:w="4169"/>
        <w:gridCol w:w="188"/>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626 575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1 130 775</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74"/>
        <w:gridCol w:w="1274"/>
        <w:gridCol w:w="1274"/>
        <w:gridCol w:w="2844"/>
        <w:gridCol w:w="2448"/>
        <w:gridCol w:w="2449"/>
        <w:gridCol w:w="133"/>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прокуратура әкімшілік ғимаратын салу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1"/>
    <w:p>
      <w:pPr>
        <w:spacing w:after="0"/>
        <w:ind w:left="0"/>
        <w:jc w:val="both"/>
      </w:pPr>
      <w:r>
        <w:rPr>
          <w:rFonts w:ascii="Times New Roman"/>
          <w:b w:val="false"/>
          <w:i w:val="false"/>
          <w:color w:val="000000"/>
          <w:sz w:val="28"/>
        </w:rPr>
        <w:t>
      деген жолдар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309"/>
        <w:gridCol w:w="1310"/>
        <w:gridCol w:w="1310"/>
        <w:gridCol w:w="2924"/>
        <w:gridCol w:w="2171"/>
        <w:gridCol w:w="2518"/>
        <w:gridCol w:w="137"/>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прокуратура әкімшілік ғимаратын салу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818"/>
        <w:gridCol w:w="1818"/>
        <w:gridCol w:w="1818"/>
        <w:gridCol w:w="3262"/>
        <w:gridCol w:w="3015"/>
        <w:gridCol w:w="190"/>
        <w:gridCol w:w="190"/>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3"/>
    <w:p>
      <w:pPr>
        <w:spacing w:after="0"/>
        <w:ind w:left="0"/>
        <w:jc w:val="both"/>
      </w:pPr>
      <w:r>
        <w:rPr>
          <w:rFonts w:ascii="Times New Roman"/>
          <w:b w:val="false"/>
          <w:i w:val="false"/>
          <w:color w:val="000000"/>
          <w:sz w:val="28"/>
        </w:rPr>
        <w:t>
      деген жолдар алып тасталсын;</w:t>
      </w:r>
    </w:p>
    <w:bookmarkEnd w:id="43"/>
    <w:bookmarkStart w:name="z46"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82"/>
        <w:gridCol w:w="1182"/>
        <w:gridCol w:w="1182"/>
        <w:gridCol w:w="3525"/>
        <w:gridCol w:w="2272"/>
        <w:gridCol w:w="2273"/>
        <w:gridCol w:w="124"/>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5"/>
    <w:p>
      <w:pPr>
        <w:spacing w:after="0"/>
        <w:ind w:left="0"/>
        <w:jc w:val="both"/>
      </w:pPr>
      <w:r>
        <w:rPr>
          <w:rFonts w:ascii="Times New Roman"/>
          <w:b w:val="false"/>
          <w:i w:val="false"/>
          <w:color w:val="000000"/>
          <w:sz w:val="28"/>
        </w:rPr>
        <w:t>
      деген жолдар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82"/>
        <w:gridCol w:w="1182"/>
        <w:gridCol w:w="1182"/>
        <w:gridCol w:w="3525"/>
        <w:gridCol w:w="2272"/>
        <w:gridCol w:w="2273"/>
        <w:gridCol w:w="124"/>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96"/>
        <w:gridCol w:w="196"/>
        <w:gridCol w:w="196"/>
        <w:gridCol w:w="4086"/>
        <w:gridCol w:w="3616"/>
        <w:gridCol w:w="3617"/>
        <w:gridCol w:w="19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348 656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мемлекеттік тарихи-мәдени қорық-мұражайы" РМҚК визит-орталығын салуға</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7"/>
    <w:p>
      <w:pPr>
        <w:spacing w:after="0"/>
        <w:ind w:left="0"/>
        <w:jc w:val="both"/>
      </w:pPr>
      <w:r>
        <w:rPr>
          <w:rFonts w:ascii="Times New Roman"/>
          <w:b w:val="false"/>
          <w:i w:val="false"/>
          <w:color w:val="000000"/>
          <w:sz w:val="28"/>
        </w:rPr>
        <w:t>
      деген жолдар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5404"/>
        <w:gridCol w:w="282"/>
        <w:gridCol w:w="5203"/>
        <w:gridCol w:w="283"/>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ұлттық тарихи-мәдени қорығы" РМҚК визит-орталығын салуға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8"/>
    <w:p>
      <w:pPr>
        <w:spacing w:after="0"/>
        <w:ind w:left="0"/>
        <w:jc w:val="both"/>
      </w:pP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72"/>
        <w:gridCol w:w="172"/>
        <w:gridCol w:w="172"/>
        <w:gridCol w:w="8088"/>
        <w:gridCol w:w="3178"/>
        <w:gridCol w:w="173"/>
        <w:gridCol w:w="173"/>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кешеннің құрылысына кіретін "Гаухар-ана" мавзолейінің аумағында кызметкелерге арналған жатақханасымен визит-орталықты салуға Түркістан қ., Түркістан облысы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кешенінің құрылысына кіретін "Сауран" мавзолейінің аумағында кызметкерлерге арналған жатақханасымен визит-орталықты салуға Түркістан қ., Түркістан облысы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9"/>
    <w:p>
      <w:pPr>
        <w:spacing w:after="0"/>
        <w:ind w:left="0"/>
        <w:jc w:val="both"/>
      </w:pPr>
      <w:r>
        <w:rPr>
          <w:rFonts w:ascii="Times New Roman"/>
          <w:b w:val="false"/>
          <w:i w:val="false"/>
          <w:color w:val="000000"/>
          <w:sz w:val="28"/>
        </w:rPr>
        <w:t>
      деген жолдар алып тасталсын;</w:t>
      </w:r>
    </w:p>
    <w:bookmarkEnd w:id="49"/>
    <w:bookmarkStart w:name="z52"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40"/>
        <w:gridCol w:w="140"/>
        <w:gridCol w:w="140"/>
        <w:gridCol w:w="836"/>
        <w:gridCol w:w="3114"/>
        <w:gridCol w:w="3470"/>
        <w:gridCol w:w="3470"/>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5 913 043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23 495 414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40"/>
        <w:gridCol w:w="140"/>
        <w:gridCol w:w="140"/>
        <w:gridCol w:w="837"/>
        <w:gridCol w:w="3115"/>
        <w:gridCol w:w="3470"/>
        <w:gridCol w:w="3468"/>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4 413 043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23 495 414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2"/>
    <w:p>
      <w:pPr>
        <w:spacing w:after="0"/>
        <w:ind w:left="0"/>
        <w:jc w:val="both"/>
      </w:pPr>
      <w:r>
        <w:rPr>
          <w:rFonts w:ascii="Times New Roman"/>
          <w:b w:val="false"/>
          <w:i w:val="false"/>
          <w:color w:val="000000"/>
          <w:sz w:val="28"/>
        </w:rPr>
        <w:t>
      мына:</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
        <w:gridCol w:w="1399"/>
        <w:gridCol w:w="1399"/>
        <w:gridCol w:w="1399"/>
        <w:gridCol w:w="4423"/>
        <w:gridCol w:w="3241"/>
        <w:gridCol w:w="146"/>
        <w:gridCol w:w="147"/>
      </w:tblGrid>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1 339 286</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1 339 286</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автожолының қайта жаңарту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1 339 286</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160 714</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160 714</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автожолының қайта жаңарту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160 714</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3"/>
    <w:p>
      <w:pPr>
        <w:spacing w:after="0"/>
        <w:ind w:left="0"/>
        <w:jc w:val="both"/>
      </w:pPr>
      <w:r>
        <w:rPr>
          <w:rFonts w:ascii="Times New Roman"/>
          <w:b w:val="false"/>
          <w:i w:val="false"/>
          <w:color w:val="000000"/>
          <w:sz w:val="28"/>
        </w:rPr>
        <w:t>
      деген жолдар алып тасталсын;</w:t>
      </w:r>
    </w:p>
    <w:bookmarkEnd w:id="53"/>
    <w:bookmarkStart w:name="z56" w:id="5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4"/>
    <w:bookmarkStart w:name="z57" w:id="5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5"/>
    <w:bookmarkStart w:name="z58" w:id="5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46-қосымшада</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мынадай редакциядағы реттік нөмірлері 1-1, 21-1, 21-2, 21-3, 21-4, 21-5, 24-1, 31-1, 31-2, 40-1, 40-2, 40-3, 40-4, 52-1, 61-1, 62-1, 63-1, 63-2, 66-1, 66-2, 66-3, 66-4, 66-5, 66-6, 66-7, 76-1 және 87-91 жолдармен толықтырылсын: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958"/>
        <w:gridCol w:w="1742"/>
        <w:gridCol w:w="1327"/>
        <w:gridCol w:w="1588"/>
        <w:gridCol w:w="3298"/>
        <w:gridCol w:w="2431"/>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 бағалау жұмыстары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 шикізат базасын молайту мақсатында перспективалық алаңдардың ресурстық әлеуетін бағалау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111"/>
        <w:gridCol w:w="6021"/>
        <w:gridCol w:w="564"/>
        <w:gridCol w:w="1552"/>
        <w:gridCol w:w="1518"/>
        <w:gridCol w:w="93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зымыран-ғарыш қызметінің әсеріне ұшыраған Қазақстан Республикасы аумақтарына экологиялық мониторинг жүргізу</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жылдары "Байқоңыр" ғарыш айлағынан зымыран-тасығыштарды ұшыруға экологиялық мониторинг жүргізу: (ұшыруларды экологиялық сүйемелдеу):</w:t>
            </w:r>
            <w:r>
              <w:br/>
            </w:r>
            <w:r>
              <w:rPr>
                <w:rFonts w:ascii="Times New Roman"/>
                <w:b w:val="false"/>
                <w:i w:val="false"/>
                <w:color w:val="000000"/>
                <w:sz w:val="20"/>
              </w:rPr>
              <w:t>
-Қарағанды облысында (ҚА № 16, 49, 67, 70) Ю-25 аймағындағы ЗТ ББ ҚА экологиялық орнықтылығын бағалау (2020 жыл);</w:t>
            </w:r>
            <w:r>
              <w:br/>
            </w:r>
            <w:r>
              <w:rPr>
                <w:rFonts w:ascii="Times New Roman"/>
                <w:b w:val="false"/>
                <w:i w:val="false"/>
                <w:color w:val="000000"/>
                <w:sz w:val="20"/>
              </w:rPr>
              <w:t>
- Қарағанды облысында (ҚА № 26, 32, 34, 42, 56) Ю-4 аймағындағы ЗТ ББ ҚА экологиялық орнықтылығын бағалау (2021 жыл);</w:t>
            </w:r>
            <w:r>
              <w:br/>
            </w:r>
            <w:r>
              <w:rPr>
                <w:rFonts w:ascii="Times New Roman"/>
                <w:b w:val="false"/>
                <w:i w:val="false"/>
                <w:color w:val="000000"/>
                <w:sz w:val="20"/>
              </w:rPr>
              <w:t>
-Қарағанды және Қостанай облыстарында (ҚА №77) Ю-5 ЗТ ББ ҚА экологиялық тұрақтылығын бағалау (2022 жыл);</w:t>
            </w:r>
            <w:r>
              <w:br/>
            </w:r>
            <w:r>
              <w:rPr>
                <w:rFonts w:ascii="Times New Roman"/>
                <w:b w:val="false"/>
                <w:i w:val="false"/>
                <w:color w:val="000000"/>
                <w:sz w:val="20"/>
              </w:rPr>
              <w:t>
-2013 жылы Қызылорда облысында "Протон-М" ЗТ апат орнында қоршаған орта объектілерінің жағдайын бақылау (2020 жыл);</w:t>
            </w:r>
            <w:r>
              <w:br/>
            </w:r>
            <w:r>
              <w:rPr>
                <w:rFonts w:ascii="Times New Roman"/>
                <w:b w:val="false"/>
                <w:i w:val="false"/>
                <w:color w:val="000000"/>
                <w:sz w:val="20"/>
              </w:rPr>
              <w:t>
-2007 жылы Қарағанды облысында "Протон-М" ЗТ апат орнында қоршаған орта объектілерінің жағдайын бақылау (2021 жыл);</w:t>
            </w:r>
            <w:r>
              <w:br/>
            </w:r>
            <w:r>
              <w:rPr>
                <w:rFonts w:ascii="Times New Roman"/>
                <w:b w:val="false"/>
                <w:i w:val="false"/>
                <w:color w:val="000000"/>
                <w:sz w:val="20"/>
              </w:rPr>
              <w:t>
-2018 жылы Қарағанды облысында "Союз-ФГ" ЗТ апат орнында қоршаған орта объектілерінің жағдайын бақылау (2022 жыл)</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мақсаттағы ғарыш жүйесін тәжірибелік пайдалану</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жолымен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және Қазақстанда өндірілген ҒА-ның белсенді жұмыс істеу мерзімін айқындау болжанады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алатындардың құрамына кірмейтін "Байқоңыр" кешені объектілерін кәдеге жаратуды, қалпына келтіруді және жөндеуді ұйымдастыру</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бөлшектеу; инертті құрылыс қалдықтарын көмуге арналған полигонды жайластыру; полигонда инертті құрылыс қалдықтарын жинау, шығару және көму; тазартылған аумақты жоспарлау;</w:t>
            </w:r>
            <w:r>
              <w:br/>
            </w:r>
            <w:r>
              <w:rPr>
                <w:rFonts w:ascii="Times New Roman"/>
                <w:b w:val="false"/>
                <w:i w:val="false"/>
                <w:color w:val="000000"/>
                <w:sz w:val="20"/>
              </w:rPr>
              <w:t>
мұнай өнімдерімен ластанған жер учаскелерін қалпына келтіру жөніндегі іс-шаралар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101 "Байқоңыр" кешенінің Ресей Федерациясы жалдайтын құрамға кірмейтін объектілерін кәдеге жаратуды, қалпына келтіру және жөндеуді ұйымдастыру"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 жерүсті ғарыш инфрақұрылымы объектілерін ұстау және пайдалану</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қолдау жөніндегі жұмыстар мен іс-шаралар кешенін жүзеге асыру, оның ішінде "Зенит-М" ҒЗК берілген объектілерін қорғауды ұйымдастыру және қамтамасыз ету, қызметкерлерді "Зенит-М" ҒЗК объектілеріне жеткізу үшін көліктік қамтамасыз ету, жұмыскерлерді жеке қорғаныс құралдарымен және арнайы киіммен қамтамасыз ету, қажет болған жағдайда осы объектінің (жүйелердің және агрегаттардың) пайдалану құжаттамасында белгіленген нормативтік талаптарға сәйкес ғарыш жүйелерін пайдалану тәжірибесі бар ұйымдарды тарта отырып, регламенттік және профилактикалық жұмыстарды жүргізу, сондай-ақ осы жұмыстарды ұйымдастыру үшін қажетті басқа да іс-шараларды жүзеге асыру</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өтетін тұлғаларға тұрғын үй беру және тұру үшін жағдайлар жасау</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r>
              <w:br/>
            </w: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353"/>
        <w:gridCol w:w="8382"/>
        <w:gridCol w:w="253"/>
        <w:gridCol w:w="314"/>
        <w:gridCol w:w="840"/>
        <w:gridCol w:w="561"/>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2020-2025 жылдарға арналған мемлекеттік бағдарламасын талдамалық және ақпараттық-медиалық сүйемелдеу</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орта және әлеуметтік желілердің танымалдығы жағдайында кез келген саладағы жаңалықтарды сапалы ілгерілетуді және оларды қоғамның барабар қабылдауын қамтамасыз ету үшін ақпараттық-медиялық сүйемелдеу маңызды рөл атқарады. Білім беру республиканың бүкіл халқының 1/3 тікелей жұмылған сала болып табылады (5 млн. жуық білім алушы, 1 млн. жуық қызметкер), осыған байланысты осы сала сын мен резонанстық ақпарат тұрғысынан неғұрлым осал. Бұл жерде мемлекеттік реттеу құралдарының болуы маңызды, өйткені бүгінгі күні қоғамдық пікір мен қабылдау сарынын БАҚ-та бірінші жарияланымның авторы қалыптастырады, ал әлеуметтік желілер қоғамдық пікірге ықпал етудің жаңа құралы болып тұр. Мемлекеттік бағдарламаны тиімді талдамалық және ақпараттық-медиялық сүйемелдеу оның іс-шараларының мақсаттарын, міндеттерін және мәнін қолжетімді түрде түсіндіруге мүмкіндік береді, бұл оны жүзеге асыруға барлық мүдделі тараптарды тартудың негізі болады. Жоба шеңберінде мемлекеттік бағдарлама тақырыптары бойынша бейнеконтент және бейнесүйемелдеу әзірленетін болады, мақалалар мен жарияланымдар дайындалып, таратылатын болады, TV YouTube мен Telegram-арналарының сүйемелдеуі, сондай-ақ әлеуметтік желілерде ілгерілету жүзеге асырылады.</w:t>
            </w:r>
            <w:r>
              <w:br/>
            </w:r>
            <w:r>
              <w:rPr>
                <w:rFonts w:ascii="Times New Roman"/>
                <w:b w:val="false"/>
                <w:i w:val="false"/>
                <w:color w:val="000000"/>
                <w:sz w:val="20"/>
              </w:rPr>
              <w:t>
Сондай-ақ қойылған міндеттерді жүзеге асыру үшін неғұрлым тиімді құралдарды әзірлеу мақсатында ақпараттық-талдамалық жұмысты қамтамасыз ету және әлеуметтік зерттеу жүргізу жүзеге асырылатын болады. Ақпараттық-коммуникациялық технологиялармен қатар баспа БАҚ сияқты бұқаралық коммуникациялардың дәстүрлі құралдары да белсенді қолданылатын болады. Баспа БАҚ-та ақпаратты орналастыру интернет желісіне қол жетімділігі жоқ оқырман аудиториясын қамтуға мүмкіндік береді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039"/>
        <w:gridCol w:w="7127"/>
        <w:gridCol w:w="504"/>
        <w:gridCol w:w="625"/>
        <w:gridCol w:w="1363"/>
        <w:gridCol w:w="96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(оның ішінде жеке) деректерді және ақпараттық материалдарды жинау, талдау және өңдеу;</w:t>
            </w:r>
            <w:r>
              <w:br/>
            </w:r>
            <w:r>
              <w:rPr>
                <w:rFonts w:ascii="Times New Roman"/>
                <w:b w:val="false"/>
                <w:i w:val="false"/>
                <w:color w:val="000000"/>
                <w:sz w:val="20"/>
              </w:rPr>
              <w:t>
ұлттық және халықаралық деректер базаларына қайта инференциалды талдау жүргізу;</w:t>
            </w:r>
            <w:r>
              <w:br/>
            </w:r>
            <w:r>
              <w:rPr>
                <w:rFonts w:ascii="Times New Roman"/>
                <w:b w:val="false"/>
                <w:i w:val="false"/>
                <w:color w:val="000000"/>
                <w:sz w:val="20"/>
              </w:rPr>
              <w:t>
құжат жобасын әзірлеу және уәкілетті органмен келісу;</w:t>
            </w:r>
            <w:r>
              <w:br/>
            </w:r>
            <w:r>
              <w:rPr>
                <w:rFonts w:ascii="Times New Roman"/>
                <w:b w:val="false"/>
                <w:i w:val="false"/>
                <w:color w:val="000000"/>
                <w:sz w:val="20"/>
              </w:rPr>
              <w:t>
интегралдық индекс негізінде білім беру көрсеткіштері бойынша өңірлердің рейтингін жүргізу; халықты, мемлекеттік органдарды, халықаралық ұйымдарды Қазақстан Республикасында барлық деңгейлер бойынша білім берудің (мектепке дейінгі, орта, техникалық және кәсіптік, жоғары, жоғары оқу орнынан кейінгі) жай-күйі мен дамуы туралы объективті және шынайы ақпаратпен қамтамасыз ету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етуді, қаржыландыру көлемін анықтау,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білім беру жүйесінде дербес 5 млн. астам білім алушының, білім беру жүйесіндегі 1 млн. педагог және басқару персоналының деректерін өңдеуді қамтиды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633"/>
        <w:gridCol w:w="6665"/>
        <w:gridCol w:w="497"/>
        <w:gridCol w:w="616"/>
        <w:gridCol w:w="1270"/>
        <w:gridCol w:w="948"/>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білімі мен құзыреттілігі бар Ұлттық үйлестіруші (АТО) Қазақстанның PIRLS алдыңғы цикліне қатысуын қамтамасыз етті.</w:t>
            </w:r>
            <w:r>
              <w:br/>
            </w:r>
            <w:r>
              <w:rPr>
                <w:rFonts w:ascii="Times New Roman"/>
                <w:b w:val="false"/>
                <w:i w:val="false"/>
                <w:color w:val="000000"/>
                <w:sz w:val="20"/>
              </w:rPr>
              <w:t>
2020 жылы PIRLS қатысу бойынша мынадай іс-шаралар жүргізілетін болады:</w:t>
            </w:r>
            <w:r>
              <w:br/>
            </w:r>
            <w:r>
              <w:rPr>
                <w:rFonts w:ascii="Times New Roman"/>
                <w:b w:val="false"/>
                <w:i w:val="false"/>
                <w:color w:val="000000"/>
                <w:sz w:val="20"/>
              </w:rPr>
              <w:t>
1. PIRLS зерттеуін сараптамалық сүйемелдеу және уәкілетті органның басшылығынталдамалық материалдармен қамтамасыз ету (саяси (жоғары) деңгейдегі сарапшылық қолдау).</w:t>
            </w:r>
            <w:r>
              <w:br/>
            </w:r>
            <w:r>
              <w:rPr>
                <w:rFonts w:ascii="Times New Roman"/>
                <w:b w:val="false"/>
                <w:i w:val="false"/>
                <w:color w:val="000000"/>
                <w:sz w:val="20"/>
              </w:rPr>
              <w:t>
2. Тест жүргізушілерді және мектеп үйлестірушілерін сынамалық материалдармен қамтамасыз ету.</w:t>
            </w:r>
            <w:r>
              <w:br/>
            </w:r>
            <w:r>
              <w:rPr>
                <w:rFonts w:ascii="Times New Roman"/>
                <w:b w:val="false"/>
                <w:i w:val="false"/>
                <w:color w:val="000000"/>
                <w:sz w:val="20"/>
              </w:rPr>
              <w:t>
3. PIRLS-2021 сынамасын мектептерде өткізу.</w:t>
            </w:r>
            <w:r>
              <w:br/>
            </w:r>
            <w:r>
              <w:rPr>
                <w:rFonts w:ascii="Times New Roman"/>
                <w:b w:val="false"/>
                <w:i w:val="false"/>
                <w:color w:val="000000"/>
                <w:sz w:val="20"/>
              </w:rPr>
              <w:t>
4. Кодтау жүйесінде сынаманың ашық жауаптарын кодтау және өңдеу.</w:t>
            </w:r>
            <w:r>
              <w:br/>
            </w:r>
            <w:r>
              <w:rPr>
                <w:rFonts w:ascii="Times New Roman"/>
                <w:b w:val="false"/>
                <w:i w:val="false"/>
                <w:color w:val="000000"/>
                <w:sz w:val="20"/>
              </w:rPr>
              <w:t>
5. IEA маман сертификаттаған Data Management Expert бағдарламасында халықаралық сынама дерекқорын қалыптастыру.</w:t>
            </w:r>
            <w:r>
              <w:br/>
            </w:r>
            <w:r>
              <w:rPr>
                <w:rFonts w:ascii="Times New Roman"/>
                <w:b w:val="false"/>
                <w:i w:val="false"/>
                <w:color w:val="000000"/>
                <w:sz w:val="20"/>
              </w:rPr>
              <w:t>
6. IEA жыл сайынғы мүшелік жарнасын төлеу.</w:t>
            </w:r>
            <w:r>
              <w:br/>
            </w:r>
            <w:r>
              <w:rPr>
                <w:rFonts w:ascii="Times New Roman"/>
                <w:b w:val="false"/>
                <w:i w:val="false"/>
                <w:color w:val="000000"/>
                <w:sz w:val="20"/>
              </w:rPr>
              <w:t>
7. Міндетті халықаралық кездесулерге сарапшылардың қатысуы. Халықаралық сарапшылармен коммуникацияларды қолдау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TIMSS-ке қатысу бастауыш пен негізгі орта білім берудің сабақтастығын бағалауға бағытталған (TIMSS-2015 зерттеуінің 4-сынып оқушылары - бұл TIMSS-2019 зерттеуінің 8-сынып оқушылары).</w:t>
            </w:r>
            <w:r>
              <w:br/>
            </w:r>
            <w:r>
              <w:rPr>
                <w:rFonts w:ascii="Times New Roman"/>
                <w:b w:val="false"/>
                <w:i w:val="false"/>
                <w:color w:val="000000"/>
                <w:sz w:val="20"/>
              </w:rPr>
              <w:t>
Қажетті білімі мен құзыреті бар Ұлттық үйлестіруші (АТО) Қазақстанның ТIMSS үш цикліне қатысуын қамтамасыз етті.</w:t>
            </w:r>
            <w:r>
              <w:br/>
            </w:r>
            <w:r>
              <w:rPr>
                <w:rFonts w:ascii="Times New Roman"/>
                <w:b w:val="false"/>
                <w:i w:val="false"/>
                <w:color w:val="000000"/>
                <w:sz w:val="20"/>
              </w:rPr>
              <w:t>
2020 жылы TIMSS-ке қатысу бойынша мынадай іс-шаралар жүргізілетін болады:</w:t>
            </w:r>
            <w:r>
              <w:br/>
            </w:r>
            <w:r>
              <w:rPr>
                <w:rFonts w:ascii="Times New Roman"/>
                <w:b w:val="false"/>
                <w:i w:val="false"/>
                <w:color w:val="000000"/>
                <w:sz w:val="20"/>
              </w:rPr>
              <w:t>
1. TIMSS-2019 циклінің соңғы елдік жарнасын төлеу.</w:t>
            </w:r>
            <w:r>
              <w:br/>
            </w:r>
            <w:r>
              <w:rPr>
                <w:rFonts w:ascii="Times New Roman"/>
                <w:b w:val="false"/>
                <w:i w:val="false"/>
                <w:color w:val="000000"/>
                <w:sz w:val="20"/>
              </w:rPr>
              <w:t>
2. Құпиялық режимінен шығарылған тест тапсырмаларын дайындау және басып шығару.</w:t>
            </w:r>
            <w:r>
              <w:br/>
            </w:r>
            <w:r>
              <w:rPr>
                <w:rFonts w:ascii="Times New Roman"/>
                <w:b w:val="false"/>
                <w:i w:val="false"/>
                <w:color w:val="000000"/>
                <w:sz w:val="20"/>
              </w:rPr>
              <w:t>
3. TIMSS-2019 шеңберінде өңірлік кездесулер өткізу.</w:t>
            </w:r>
            <w:r>
              <w:br/>
            </w:r>
            <w:r>
              <w:rPr>
                <w:rFonts w:ascii="Times New Roman"/>
                <w:b w:val="false"/>
                <w:i w:val="false"/>
                <w:color w:val="000000"/>
                <w:sz w:val="20"/>
              </w:rPr>
              <w:t>
4. Міндетті халықаралық кездесулерге сарапшылар деңгейінде қатысу.</w:t>
            </w:r>
            <w:r>
              <w:br/>
            </w:r>
            <w:r>
              <w:rPr>
                <w:rFonts w:ascii="Times New Roman"/>
                <w:b w:val="false"/>
                <w:i w:val="false"/>
                <w:color w:val="000000"/>
                <w:sz w:val="20"/>
              </w:rPr>
              <w:t>
5. TIMSS-2019 халықаралық дерекқорын тексеру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ICILS негізгі зерттеуіне қатысуы елде АКТ-білімін дамыту үшін жоғары маңыздылыққа ие.</w:t>
            </w:r>
            <w:r>
              <w:br/>
            </w:r>
            <w:r>
              <w:rPr>
                <w:rFonts w:ascii="Times New Roman"/>
                <w:b w:val="false"/>
                <w:i w:val="false"/>
                <w:color w:val="000000"/>
                <w:sz w:val="20"/>
              </w:rPr>
              <w:t>
2020 жылы ICILS қатысу бойынша мынадай іс-шаралар жүргізілетін болады:</w:t>
            </w:r>
            <w:r>
              <w:br/>
            </w:r>
            <w:r>
              <w:rPr>
                <w:rFonts w:ascii="Times New Roman"/>
                <w:b w:val="false"/>
                <w:i w:val="false"/>
                <w:color w:val="000000"/>
                <w:sz w:val="20"/>
              </w:rPr>
              <w:t>
1. Ұлттық есепті әзірлеу және уәкілетті органмен келісу, жариялануын қамтамасыз ету.</w:t>
            </w:r>
            <w:r>
              <w:br/>
            </w:r>
            <w:r>
              <w:rPr>
                <w:rFonts w:ascii="Times New Roman"/>
                <w:b w:val="false"/>
                <w:i w:val="false"/>
                <w:color w:val="000000"/>
                <w:sz w:val="20"/>
              </w:rPr>
              <w:t>
2. ICILS-2018 негізгі нәтижелерімен ақпараттық буклет жасау.</w:t>
            </w:r>
            <w:r>
              <w:br/>
            </w:r>
            <w:r>
              <w:rPr>
                <w:rFonts w:ascii="Times New Roman"/>
                <w:b w:val="false"/>
                <w:i w:val="false"/>
                <w:color w:val="000000"/>
                <w:sz w:val="20"/>
              </w:rPr>
              <w:t>
3. ICILS-2018 қатысу нәтижелерін кең талқылауды сарапшылық сүйемелдеу, ұйымдастыру және өткізу.</w:t>
            </w:r>
            <w:r>
              <w:br/>
            </w:r>
            <w:r>
              <w:rPr>
                <w:rFonts w:ascii="Times New Roman"/>
                <w:b w:val="false"/>
                <w:i w:val="false"/>
                <w:color w:val="000000"/>
                <w:sz w:val="20"/>
              </w:rPr>
              <w:t>
4. Міндетті ЗҰҮ халықаралық кездесуіне сарапшылардың қатысуы.</w:t>
            </w:r>
            <w:r>
              <w:br/>
            </w:r>
            <w:r>
              <w:rPr>
                <w:rFonts w:ascii="Times New Roman"/>
                <w:b w:val="false"/>
                <w:i w:val="false"/>
                <w:color w:val="000000"/>
                <w:sz w:val="20"/>
              </w:rPr>
              <w:t>
5. Білім саласындағы уәкілетті органның басшылығына талдамалық материалдарды сарапшылық сүйемелдеу және дайындау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зерттеуге қатысу</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әлемде танылған 15 жастағы білім алушылардың функционалдық сауаттылығын бағалайтын құрал.</w:t>
            </w:r>
            <w:r>
              <w:br/>
            </w:r>
            <w:r>
              <w:rPr>
                <w:rFonts w:ascii="Times New Roman"/>
                <w:b w:val="false"/>
                <w:i w:val="false"/>
                <w:color w:val="000000"/>
                <w:sz w:val="20"/>
              </w:rPr>
              <w:t>
2020 жылы PISA-ға қатысу бойынша мынадай іс-шаралар жүргізіледі:</w:t>
            </w:r>
            <w:r>
              <w:br/>
            </w:r>
            <w:r>
              <w:rPr>
                <w:rFonts w:ascii="Times New Roman"/>
                <w:b w:val="false"/>
                <w:i w:val="false"/>
                <w:color w:val="000000"/>
                <w:sz w:val="20"/>
              </w:rPr>
              <w:t>
1. Қазақстанның PISA-2018 зерттеуіне қатысу нәтижелері бойынша Ұлттық есепті сараптамалық-талдамалық сүйемелдеу және дайындау.</w:t>
            </w:r>
            <w:r>
              <w:br/>
            </w:r>
            <w:r>
              <w:rPr>
                <w:rFonts w:ascii="Times New Roman"/>
                <w:b w:val="false"/>
                <w:i w:val="false"/>
                <w:color w:val="000000"/>
                <w:sz w:val="20"/>
              </w:rPr>
              <w:t>
2. Облыстық үйлестірушілер мен тест-әкімшілеріне арналған оқыту семинарын өткізу.</w:t>
            </w:r>
            <w:r>
              <w:br/>
            </w:r>
            <w:r>
              <w:rPr>
                <w:rFonts w:ascii="Times New Roman"/>
                <w:b w:val="false"/>
                <w:i w:val="false"/>
                <w:color w:val="000000"/>
                <w:sz w:val="20"/>
              </w:rPr>
              <w:t>
3. Өңірлерде PISA-2021 сынамалық зерттеуін өткізу.</w:t>
            </w:r>
            <w:r>
              <w:br/>
            </w:r>
            <w:r>
              <w:rPr>
                <w:rFonts w:ascii="Times New Roman"/>
                <w:b w:val="false"/>
                <w:i w:val="false"/>
                <w:color w:val="000000"/>
                <w:sz w:val="20"/>
              </w:rPr>
              <w:t>
4. PISA Басқару кеңесінің (PGB) міндетті отырыстарына, кодтаушылардың халықаралық оқыту тренингіне және Ұлттық жоба менеджерлерінің кездесуіне қатысу.</w:t>
            </w:r>
            <w:r>
              <w:br/>
            </w:r>
            <w:r>
              <w:rPr>
                <w:rFonts w:ascii="Times New Roman"/>
                <w:b w:val="false"/>
                <w:i w:val="false"/>
                <w:color w:val="000000"/>
                <w:sz w:val="20"/>
              </w:rPr>
              <w:t>
5. Тесте-әкімшілерді және мектептегі үйлестірушілерді сынамалық материалдармен қамтамасыз ету.</w:t>
            </w:r>
            <w:r>
              <w:br/>
            </w:r>
            <w:r>
              <w:rPr>
                <w:rFonts w:ascii="Times New Roman"/>
                <w:b w:val="false"/>
                <w:i w:val="false"/>
                <w:color w:val="000000"/>
                <w:sz w:val="20"/>
              </w:rPr>
              <w:t>
6. OCS (Onlince Coding System) онлайн жүйесінде сынамалаудың ашық сұрақтарының жауаптарын кодтау және өңдеу.</w:t>
            </w:r>
            <w:r>
              <w:br/>
            </w:r>
            <w:r>
              <w:rPr>
                <w:rFonts w:ascii="Times New Roman"/>
                <w:b w:val="false"/>
                <w:i w:val="false"/>
                <w:color w:val="000000"/>
                <w:sz w:val="20"/>
              </w:rPr>
              <w:t>
7. Сынамалау нәтижелері бойынша Westat маманы сертификаттаған, халықаралық деректер базасын Data Management Expert бағдарламасында қалыптастыру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83"/>
        <w:gridCol w:w="6251"/>
        <w:gridCol w:w="601"/>
        <w:gridCol w:w="715"/>
        <w:gridCol w:w="1991"/>
        <w:gridCol w:w="1147"/>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қызметті жүзеге асырып жүрген шетел азаматтарының қазақ тілін меңгеру деңгейін бағалау жүйесі.</w:t>
            </w:r>
            <w:r>
              <w:br/>
            </w:r>
            <w:r>
              <w:rPr>
                <w:rFonts w:ascii="Times New Roman"/>
                <w:b w:val="false"/>
                <w:i w:val="false"/>
                <w:color w:val="000000"/>
                <w:sz w:val="20"/>
              </w:rPr>
              <w:t>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жаңарту үшін тест тапсырмаларының екі сараптамасын және екі түзетуді әзірлеу жүргізіледі. Тест тапсырмаларын әзірлеушілер мен сарапшылар үшін біліктілікті арттыру курстары ұйымдастырылады және жүргізіледі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704"/>
        <w:gridCol w:w="3343"/>
        <w:gridCol w:w="720"/>
        <w:gridCol w:w="1254"/>
        <w:gridCol w:w="2386"/>
        <w:gridCol w:w="1920"/>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қызметкерлерінің біліктілігін арттыру жөніндегі көрсетілетін қызметтер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899"/>
        <w:gridCol w:w="2683"/>
        <w:gridCol w:w="710"/>
        <w:gridCol w:w="913"/>
        <w:gridCol w:w="2567"/>
        <w:gridCol w:w="1569"/>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бойынша техникалық және кәсіптік, орта білімнен кейінгі білім беру ұйымдарының басшылары мен инженер - педагог жұмыскерлерінің біліктілігін арттыру курстарын ұйымдастыру және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722"/>
        <w:gridCol w:w="5727"/>
        <w:gridCol w:w="439"/>
        <w:gridCol w:w="852"/>
        <w:gridCol w:w="1716"/>
        <w:gridCol w:w="114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 жасасу және медициналық қызметке ақы төлеу,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 сондай-ақ шетелге емделуге жіберілген пациенттің және онымен ілесіп жүретін адамның жол жүру шығыстарын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524"/>
        <w:gridCol w:w="3797"/>
        <w:gridCol w:w="456"/>
        <w:gridCol w:w="1210"/>
        <w:gridCol w:w="1399"/>
        <w:gridCol w:w="1188"/>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бойынша Орталық референттік зертхананың қызметін қамтамасыз ету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жүйесінде Орталық референттік зертхананың жұмыс істеуін қамтамасыз ету және аса қауіпті инфекциялардың профилактикасы саласындағы қызметтерді көрсету, аса қауіпті патогендерді шоғырландыру, биологиялық қауіптерді табу, диагностикалау және жою бойынша мүмкіндіктерді кеңейту, халықаралық зертханалық практика және биологиялық қауіпсіздік стандарттарын енгізу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(жақын) материктік аумақта эпизоотологиялық мониторингті қамтамасыз ету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 мен таратушылар санының серпінін, деңгейі жағдайын бағалай отырып, Возрождение аралының қазақстандық бөлігінде және Арал теңізіне іргелес (жақын) материктік аумақта эпизоотологиялық тексеруді қамтамасыз ету, осы аумақтарда тұрақты және уақытша тұратын халықты эпидемиологиялық бақылау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зертханалық зерттеулер мен аспаптық өлшеулер жүргізу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салауаттылығын қамтамасыз ету мақсатында зертханалық зерттеулер және аспаптық өлшеулер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мәселелері бойынша ұйымдастырушылық-әдістемелік, практикалық, көмек көрсету, эпидемиологиялық тексерулер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 әдістемелік және практикалық жұмыс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сырттай бағалау бағдарламаларын жүргізу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 мақсатында халыққа көрсетілетін қызметтердің сапасын сыртқы бағалау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мониторинг жүргізу, өңірлерден ақпарат жинау, статистикалық өңдеу, Қазақстан Республикасы Денсаулық сақтау министрлігі мен Тауарлар мен көрсетілетін қызметтердің сапасы мен қауіпсіздігін бақылау комитеті үшін ҚР халқының санитарлық-эпидемиологиялық салауаттылығын қамтамасыз ету жөніндегі ұсынымдармен алынған деректерді біріктіру және талдау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 мониторинг және ақпарат жинау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инфекциялық бақылау инфекцияларының алдын алу бағдарламаларын бағалау және мониторингілеу, деректер жинау жүйесін әзірлеу және енгізу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108"/>
        <w:gridCol w:w="2159"/>
        <w:gridCol w:w="534"/>
        <w:gridCol w:w="750"/>
        <w:gridCol w:w="5696"/>
        <w:gridCol w:w="1202"/>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ғылыми және әдістемелік қамтамасыз ету бойынша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жұмылдыру жоспарын әзірлеу бойынша әдіснамалық нұсқаманы әзірлей отырып, елдің жұмылдыру жоспарын дайындау жөніндегі әдіснамалық негіздер мен халықаралық тәжірибені зерттеу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862"/>
        <w:gridCol w:w="3386"/>
        <w:gridCol w:w="1252"/>
        <w:gridCol w:w="1231"/>
        <w:gridCol w:w="2476"/>
        <w:gridCol w:w="1514"/>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жүйесінің медициналық және басқа қызметкерлерін оқытуды ұйымдастыру және жүргізу бойынша қызметтер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қызметте кәсіби дағдылар деңгейін арттыру мақсатында ҚР ПІБ жүйесінің қызметкерлерін, оның ішінде ҚР ПІБ жүйесінің медициналық қызметкерлерін ғылыми зерттеулер менеджменті және медициналық практикадағы заманауи әдістер бойынша оқытуды ұйымдастыру және жүргізу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 </w:t>
            </w:r>
            <w:r>
              <w:br/>
            </w:r>
            <w:r>
              <w:rPr>
                <w:rFonts w:ascii="Times New Roman"/>
                <w:b w:val="false"/>
                <w:i w:val="false"/>
                <w:color w:val="000000"/>
                <w:sz w:val="20"/>
              </w:rPr>
              <w:t>
102 "Медициналық ұйымдарды техникалық және ақпараттық қамтамасыз ету"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8"/>
    <w:p>
      <w:pPr>
        <w:spacing w:after="0"/>
        <w:ind w:left="0"/>
        <w:jc w:val="both"/>
      </w:pPr>
      <w:r>
        <w:rPr>
          <w:rFonts w:ascii="Times New Roman"/>
          <w:b w:val="false"/>
          <w:i w:val="false"/>
          <w:color w:val="000000"/>
          <w:sz w:val="28"/>
        </w:rPr>
        <w:t xml:space="preserve">
      4. Жергілікті атқарушы органдар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өткен қаржы жылының тіркелген міндеттемелерінің төленбеген бөлігінің сомасына жергілікті бюджеттердің бюджет қаражатының қаржы жылының басындағы қалдығы есебінен 2019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2020 қаржы жылында пайдалансын (толық пайдалансын).</w:t>
      </w:r>
    </w:p>
    <w:bookmarkEnd w:id="58"/>
    <w:bookmarkStart w:name="z61" w:id="59"/>
    <w:p>
      <w:pPr>
        <w:spacing w:after="0"/>
        <w:ind w:left="0"/>
        <w:jc w:val="both"/>
      </w:pPr>
      <w:r>
        <w:rPr>
          <w:rFonts w:ascii="Times New Roman"/>
          <w:b w:val="false"/>
          <w:i w:val="false"/>
          <w:color w:val="000000"/>
          <w:sz w:val="28"/>
        </w:rPr>
        <w:t xml:space="preserve">
      5.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 </w:t>
      </w:r>
    </w:p>
    <w:bookmarkEnd w:id="59"/>
    <w:bookmarkStart w:name="z62" w:id="60"/>
    <w:p>
      <w:pPr>
        <w:spacing w:after="0"/>
        <w:ind w:left="0"/>
        <w:jc w:val="both"/>
      </w:pPr>
      <w:r>
        <w:rPr>
          <w:rFonts w:ascii="Times New Roman"/>
          <w:b w:val="false"/>
          <w:i w:val="false"/>
          <w:color w:val="000000"/>
          <w:sz w:val="28"/>
        </w:rPr>
        <w:t>
      6. Осы қаулы 2020 жылғы 1 қаңтардан бастап қолданысқа енгiзiледi.</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21 қаулысына</w:t>
            </w:r>
            <w:r>
              <w:br/>
            </w:r>
            <w:r>
              <w:rPr>
                <w:rFonts w:ascii="Times New Roman"/>
                <w:b w:val="false"/>
                <w:i w:val="false"/>
                <w:color w:val="000000"/>
                <w:sz w:val="20"/>
              </w:rPr>
              <w:t>1-қосымша</w:t>
            </w:r>
          </w:p>
        </w:tc>
      </w:tr>
    </w:tbl>
    <w:bookmarkStart w:name="z64" w:id="61"/>
    <w:p>
      <w:pPr>
        <w:spacing w:after="0"/>
        <w:ind w:left="0"/>
        <w:jc w:val="left"/>
      </w:pPr>
      <w:r>
        <w:rPr>
          <w:rFonts w:ascii="Times New Roman"/>
          <w:b/>
          <w:i w:val="false"/>
          <w:color w:val="000000"/>
        </w:rPr>
        <w:t xml:space="preserve"> 2020 жылға арналған республикалық бюджет көрсеткіштерін түзету</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24"/>
        <w:gridCol w:w="1024"/>
        <w:gridCol w:w="6673"/>
        <w:gridCol w:w="2555"/>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ФТ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БҒД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Өзгерістер (+, -)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9 655 763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9 655 763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9 655 763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-9 655 763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-9 655 763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21 қаулысына</w:t>
            </w:r>
            <w:r>
              <w:br/>
            </w:r>
            <w:r>
              <w:rPr>
                <w:rFonts w:ascii="Times New Roman"/>
                <w:b w:val="false"/>
                <w:i w:val="false"/>
                <w:color w:val="000000"/>
                <w:sz w:val="20"/>
              </w:rPr>
              <w:t>2-қосымша</w:t>
            </w:r>
          </w:p>
        </w:tc>
      </w:tr>
    </w:tbl>
    <w:bookmarkStart w:name="z66" w:id="62"/>
    <w:p>
      <w:pPr>
        <w:spacing w:after="0"/>
        <w:ind w:left="0"/>
        <w:jc w:val="left"/>
      </w:pPr>
      <w:r>
        <w:rPr>
          <w:rFonts w:ascii="Times New Roman"/>
          <w:b/>
          <w:i w:val="false"/>
          <w:color w:val="000000"/>
        </w:rPr>
        <w:t xml:space="preserve"> 2019 жылғы республикалық бюджеттің бюджет қаражатының қалдықтары есебінен тиісті бюджеттік бағдарламаның жылдық жоспарлы тағайындауын ұлғайту</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946"/>
        <w:gridCol w:w="1946"/>
        <w:gridCol w:w="2721"/>
        <w:gridCol w:w="3741"/>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ФТ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БҒД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Өзгерістер (+, -)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21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22-қосымша</w:t>
            </w:r>
          </w:p>
        </w:tc>
      </w:tr>
    </w:tbl>
    <w:bookmarkStart w:name="z69" w:id="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27 455 163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1 871 552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1 002 504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775 818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897 610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667 749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342 980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532 246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705 918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1 830 401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5 656 410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5 483 139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4 618 044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21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45-қосымша</w:t>
            </w:r>
          </w:p>
        </w:tc>
      </w:tr>
    </w:tbl>
    <w:bookmarkStart w:name="z72" w:id="64"/>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2295"/>
        <w:gridCol w:w="2290"/>
        <w:gridCol w:w="2525"/>
        <w:gridCol w:w="25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67 078 748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129 760 371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129 751 994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67 078 748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129 760 371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129 751 994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62 628 748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125 310 371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125 301 994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4" w:id="65"/>
    <w:p>
      <w:pPr>
        <w:spacing w:after="0"/>
        <w:ind w:left="0"/>
        <w:jc w:val="left"/>
      </w:pPr>
      <w:r>
        <w:rPr>
          <w:rFonts w:ascii="Times New Roman"/>
          <w:b/>
          <w:i w:val="false"/>
          <w:color w:val="000000"/>
        </w:rPr>
        <w:t xml:space="preserve"> 2019 жылы республикалық бюджеттен бөлінген нысаналы даму трансферттерінің пайдаланылмаған (толық пайдаланылмаған) сомаларын 2020 жылы пайдалану (толық пайдалану) туралы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8621"/>
        <w:gridCol w:w="1747"/>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БҒМ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КБҒМ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жылы пайдалануға (толық пайдалануға) рұқсат етілген сома,</w:t>
            </w:r>
            <w:r>
              <w:br/>
            </w:r>
            <w:r>
              <w:rPr>
                <w:rFonts w:ascii="Times New Roman"/>
                <w:b/>
                <w:i w:val="false"/>
                <w:color w:val="000000"/>
                <w:sz w:val="20"/>
              </w:rPr>
              <w:t>
мың теңге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1 688 782,8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534 223,1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534 223,1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534 223,1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236 033,0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 1 орта мектепке 600 орындық жапсаржай салу (сыртқы инженерлік желілерсіз және абаттандырусыз)</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"ЭКОС" № 13 Экологиялық мектеп-гимназиясы" КММ 420 орындық жабыстырма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131 106,0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298 190,1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600 орындық мектеп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298 190,1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56 110,8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56 110,8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35 283,5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шағын ауданының солтүстігіне қарай (алаңы 38,6 га учаскесінде) магистральды инженерлік желілер салу (Электрмен жабдықтау желілері) ЖСҚ түзету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35 283,5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баспана - 2020" бағдарламасының шеңберінде тұрғын үй кешендерін салу № 4 лот. (Астана қаласының Қорғалжын тас жолынан оңтүстікке қарай паркингі бар КПТК салу). 10 кВ электрмен қамтудың сыртқы желілері. 0,4 кВ электрмен қамтудың сыртқы желілері. Трансформаторлық қосалқы станциялары ТП 10/0,4 кВ - 2х1600 кВА) Сметалық құжаттама.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171 389,3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41 184,7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41 184,7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 Бадамша ауылындағы дене шынықтыру және сауықтыру кешенінің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 ауданының Қарабұлақ ауылында дене шынықтыру-сауықтыру кешенін салу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іс-шараларды іске асыру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"Елім-ай Көкпекті"Агроөнеркәсіп кешені жобасы бойынша трансформаторлы қосалқы станциялармен электр тарату желісінің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92 578,4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92 578,4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Пригородный тұрғын алабының Сарыторғай көшесіндегі пәтер типті 100 орынды жатақхана құрылысын салу (сыртқы инженерлік желілер)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Пригородный тұрғын алабының Сарыторғай көшесіндегі пәтер типті 100 орынды жатақхана құрылысын салу (сыртқы инженерлік желілерсіз)</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72 578,4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927 059,6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144 469,5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144 469,5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облыстық маңызы бар "Ақсу-Аюлы-Ағадыр-Мойынты" 71+400 км автомобиль жолының Жаман-Сарысу өзені арқылы өтетін көпірді реконструкциялау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тұрғын алаптарындағы инженерлік желілер және жолдардың реконструкциясы мен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72 293,7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ауданының, Атбасар қаласы, № 1 шағын ауданында он төрт 45-пәтерлік тұрғын үйлердің құрылысына (поз. 1- 14) (жобаны тіркеу) (поз.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ауданының, Атбасар қаласы, № 1 шағын ауданында он төрт 45-пәтерлік тұрғын үйлердің құрылысына (поз. 1- 14) (жобаны тіркеу) (поз.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Әйтеке би кенті Ерімбет Көлдейбекұлы көшесінің № 192 учаскесінде 18 пәтерлік 6 жалдамалы көпқабатты тұрғын үйлер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магистралды инженерлік желілер салу (38,6 га алаңының учаскесінде) ЖСҚ түзету (жылумен жабдықтаудың сыртқы желілері)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710 296,4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сол және оң жаңалаудағы Елек су алғыштарын кеңейту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Солнечный көшесінен "Батыс" сорғы станциясына дейінгі су өткізгішті реконструкциялау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160 296,4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Заречный-1 поселкесі орналасқан сумен жабдықтау желілерін қайта жаңарту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 қайта жаңару С. Меновное, Өскемен қ., ШҚО (2-кезек)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 ауылдық аймағында Тай ауылында сумен жабдықтау жүйелерін салу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Созақ ауданы Раң елді мекенінде ауыз су құбыры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Төрткөл ауылдық округі, Арыстанды елді мекеніндегі ауыз су жүйелерінің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