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d437" w14:textId="ad9d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11 мамырдағы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22 қазандағы № 779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"2012 жылғы 11 мамырдағы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2012 жылғы 11 мамырдағы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өзгерістер енгізу туралы хаттаманы ратификациялау туралы</w:t>
      </w:r>
    </w:p>
    <w:bookmarkEnd w:id="0"/>
    <w:p>
      <w:pPr>
        <w:spacing w:after="0"/>
        <w:ind w:left="0"/>
        <w:jc w:val="both"/>
      </w:pPr>
      <w:r>
        <w:rPr>
          <w:rFonts w:ascii="Times New Roman"/>
          <w:b w:val="false"/>
          <w:i w:val="false"/>
          <w:color w:val="000000"/>
          <w:sz w:val="28"/>
        </w:rPr>
        <w:t xml:space="preserve">
      2012 жылғы 11 мамырдағы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өзгерістер енгізу туралы 2019 жылғы 12 шілдеде Бішкекте жасалған хаттама ратификациялансын.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