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da75" w14:textId="d6ed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 тамыздағы № 580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25, 196-құжат)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алдын алу тетiгi қатысушыларының алдын ала болу бойынша шығыстарын өтеу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"ұсынылған растау құжаттары (фискалдық чек, кассалық кіріс ордері, шот-фактура, шот, жүкқұжат, хабарлама, тұру үшін құжаттар дара кәсіпкерден ұсынылған жағдайда тұлғаның мүлікті жалға беруге құқығын растайтын құжаттар (жалға беру шарты, патент, куәлік) және мейманханалық қызмет беруші ұсынатын басқа да растайтын құжаттар қосымша ұсынылады, бұл ретте тұрғын үй-жайды тәулігіне жалдау бойынша шығыстар сомасы Нұр-Сұлтан, Алматы, Шымкент, Атырау, Ақтау және Байқоңыр қалаларында айлық есептік көрсеткіштің жеті еселенген мөлшерінен, облыс орталықтары мен облыстық маңызы бар қалаларда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айлық есептік көрсеткіштің төрт еселенген мөлшерінен, ауылдық округтерде айлық есептік көрсеткіштің екі еселенген мөлшерінен аспауға тиіс;";</w:t>
      </w:r>
    </w:p>
    <w:bookmarkEnd w:id="3"/>
    <w:bookmarkStart w:name="z6"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ұлттық алдын алу тетігінің әрбір қатысушысына алдын ала болу қорытындылары бойынша жыл сайынғы шоғырландырылған баяндама үшін жиналған материалдарды өңдеуді, ұсыныстар мен ұсынымдар, ақпарат дайындауды қоса алғанда, болу қорытындылары бойынша есепті дайындауға байланысты он екі айлық есептік көрсеткіш мөлшеріндегі шығыстар;";</w:t>
      </w:r>
    </w:p>
    <w:bookmarkEnd w:id="5"/>
    <w:bookmarkStart w:name="z8"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"5) ұлттық алдын алу тетігі қатысушысының басқа жерге шығу күнін және негізгі жұмыс (қызмет) орнына келу күнін қамтитын алдын ала болу уақыты ішінде негізгі жұмыс (қызмет) орны сақталады және Қазақстан Республикасы Еңбек кодексінің 124-бабының 1 және 2-тармақтарына сәйкес жалақы төленеді.";</w:t>
      </w:r>
    </w:p>
    <w:bookmarkEnd w:id="7"/>
    <w:bookmarkStart w:name="z10" w:id="8"/>
    <w:p>
      <w:pPr>
        <w:spacing w:after="0"/>
        <w:ind w:left="0"/>
        <w:jc w:val="both"/>
      </w:pPr>
      <w:r>
        <w:rPr>
          <w:rFonts w:ascii="Times New Roman"/>
          <w:b w:val="false"/>
          <w:i w:val="false"/>
          <w:color w:val="000000"/>
          <w:sz w:val="28"/>
        </w:rPr>
        <w:t>
      көрсетілген Қағидаларға 1-қосымшада:</w:t>
      </w:r>
    </w:p>
    <w:bookmarkEnd w:id="8"/>
    <w:bookmarkStart w:name="z11" w:id="9"/>
    <w:p>
      <w:pPr>
        <w:spacing w:after="0"/>
        <w:ind w:left="0"/>
        <w:jc w:val="both"/>
      </w:pPr>
      <w:r>
        <w:rPr>
          <w:rFonts w:ascii="Times New Roman"/>
          <w:b w:val="false"/>
          <w:i w:val="false"/>
          <w:color w:val="000000"/>
          <w:sz w:val="28"/>
        </w:rPr>
        <w:t>
      6-бағанның тақырыбы мынадай редакцияда жазылсын:</w:t>
      </w:r>
    </w:p>
    <w:bookmarkEnd w:id="9"/>
    <w:bookmarkStart w:name="z12" w:id="10"/>
    <w:p>
      <w:pPr>
        <w:spacing w:after="0"/>
        <w:ind w:left="0"/>
        <w:jc w:val="both"/>
      </w:pPr>
      <w:r>
        <w:rPr>
          <w:rFonts w:ascii="Times New Roman"/>
          <w:b w:val="false"/>
          <w:i w:val="false"/>
          <w:color w:val="000000"/>
          <w:sz w:val="28"/>
        </w:rPr>
        <w:t>
      "Алдын ала болу нәтижелері бойынша топтың есебін дайындауға байланысты шығыстар (12 АЕК мөлшерінде)".</w:t>
      </w:r>
    </w:p>
    <w:bookmarkEnd w:id="10"/>
    <w:bookmarkStart w:name="z13" w:id="11"/>
    <w:p>
      <w:pPr>
        <w:spacing w:after="0"/>
        <w:ind w:left="0"/>
        <w:jc w:val="both"/>
      </w:pPr>
      <w:r>
        <w:rPr>
          <w:rFonts w:ascii="Times New Roman"/>
          <w:b w:val="false"/>
          <w:i w:val="false"/>
          <w:color w:val="000000"/>
          <w:sz w:val="28"/>
        </w:rPr>
        <w:t>
      2. Осы қаулы алғашқы ресми жарияланған күнiнен бастап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