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132d" w14:textId="3c21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28 қыркүйектегі № 603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5-бөлімде:</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658"/>
        <w:gridCol w:w="3374"/>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787"/>
        <w:gridCol w:w="3280"/>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10-бөлімде:</w:t>
      </w:r>
    </w:p>
    <w:bookmarkEnd w:id="6"/>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7375"/>
        <w:gridCol w:w="2837"/>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 оның аумақтық органдарын және ведомстволық бағынысты мемлекеттік мекемелерін ескере отырып, оның ішінде: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6955"/>
        <w:gridCol w:w="3376"/>
      </w:tblGrid>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оның аумақтық органдарын және ведомстволық бағынысты мемлекеттік мекемелерін ескере отырып, оның ішінде: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