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9f54" w14:textId="2189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14 қыркүйектегі № 567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699"/>
        <w:gridCol w:w="1593"/>
        <w:gridCol w:w="1846"/>
        <w:gridCol w:w="7845"/>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құралымдарының құтқарушыларына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 режимiнде болғаны үшін үстемеақы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 режиміндегі кезекшіліктің әр сағаты үшін сағаттық мөлшерлемеден 25 %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2014 жылғы 11 сәуірдегі Қазақстан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шығуға ұдайы әзірлікте болу режимiнде үйде кезекшiлiк ету уақыты кезекшiлiктiң әрбір сағатына сағаттың төрттен бiрi мөлшерiнде есептеледi. Көрсетілген үстемеақыны төлеу тәртібі мен талаптарын азаматтық қорғау саласындағы орталық атқарушы орган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