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29ad" w14:textId="2cf2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келісімді және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30 шілдедегі № 471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келісімді және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келісімді және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хаттаманы ратификациялау туралы</w:t>
      </w:r>
    </w:p>
    <w:p>
      <w:pPr>
        <w:spacing w:after="0"/>
        <w:ind w:left="0"/>
        <w:jc w:val="both"/>
      </w:pPr>
      <w:r>
        <w:rPr>
          <w:rFonts w:ascii="Times New Roman"/>
          <w:b w:val="false"/>
          <w:i w:val="false"/>
          <w:color w:val="000000"/>
          <w:sz w:val="28"/>
        </w:rPr>
        <w:t>
      2015 жылғы 29 мамырда Бурабайда жасалған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 сондай-ақ 2015 жылғы 29 мамырдағы Еуразиялық экономикалық одаққа мүше мемлекеттер өзара сауданы жүзеге асыру кезінде озонды бұзатын заттар мен құрамында осындай заттары бар өнімдерді өткізу және озонды бұзатын заттарды есепке алу туралы келісімге Қырғыз Республикасының қосылуы туралы 2016 жылғы 12 тамызда Сочиде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