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1472" w14:textId="0ac1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28 маусымдағы № 387 қаулысы. Күші жойылды - Қазақстан Республикасы Үкіметінің 2024 жылғы 31 желтоқсандағы № 1146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"China Railway Asia-Europe Construction Investment Co., Ltd" Қытай компаниялары консорциумы көшбасшысының "Beijing State – Owned Assets Management Co., Ltd" компаниясын "Integra Construction KZ" жауапкершілігі шектеулі серіктестігіне ауыстыру жөніндегі бастамасын назарға ала отырып,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83-84, 607-құжат)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мынадай мазмұндағы 8-тармақпен толықтырылсын:</w:t>
      </w:r>
    </w:p>
    <w:bookmarkEnd w:id="3"/>
    <w:bookmarkStart w:name="z5" w:id="4"/>
    <w:p>
      <w:pPr>
        <w:spacing w:after="0"/>
        <w:ind w:left="0"/>
        <w:jc w:val="both"/>
      </w:pPr>
      <w:r>
        <w:rPr>
          <w:rFonts w:ascii="Times New Roman"/>
          <w:b w:val="false"/>
          <w:i w:val="false"/>
          <w:color w:val="000000"/>
          <w:sz w:val="28"/>
        </w:rPr>
        <w:t>
      "8. 2015 жылғы 31 тамызда жасалған Қазақстан Республикасының Үкіметі мен Қытай Халық Республикасының Үкіметі арасындағы индустрияландыру және инвестициялар саласындағы ынтымақтастықты нығайту жөніндегі негіздемелік келісімге сәйкес "Астана LRT" жауапкершілігі шектеулі серіктестігі "Астана қаласының жаңа көлік жүйесі. LRT (әуежайдан жаңа теміржол вокзалына дейінгі учаске)" жобасын іске асыру аясында сатып алатын тауарлар, жұмыстар және көрсетілетін қызметтер.".</w:t>
      </w:r>
    </w:p>
    <w:bookmarkEnd w:id="4"/>
    <w:bookmarkStart w:name="z6" w:id="5"/>
    <w:p>
      <w:pPr>
        <w:spacing w:after="0"/>
        <w:ind w:left="0"/>
        <w:jc w:val="both"/>
      </w:pPr>
      <w:r>
        <w:rPr>
          <w:rFonts w:ascii="Times New Roman"/>
          <w:b w:val="false"/>
          <w:i w:val="false"/>
          <w:color w:val="000000"/>
          <w:sz w:val="28"/>
        </w:rPr>
        <w:t>
      2. Астана қаласының әкімдігі Қазақстан Республикасының заңнамасында белгіленген тәртіппен осы қаулыдан туындайтын шараларды қабылдасын.</w:t>
      </w:r>
    </w:p>
    <w:bookmarkEnd w:id="5"/>
    <w:bookmarkStart w:name="z7" w:id="6"/>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