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1f2a" w14:textId="7021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7 маусымдағы № 330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27-28, 168-құжат)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18-1- тармақпен толықтырылсын:</w:t>
      </w:r>
    </w:p>
    <w:bookmarkEnd w:id="3"/>
    <w:bookmarkStart w:name="z5" w:id="4"/>
    <w:p>
      <w:pPr>
        <w:spacing w:after="0"/>
        <w:ind w:left="0"/>
        <w:jc w:val="both"/>
      </w:pPr>
      <w:r>
        <w:rPr>
          <w:rFonts w:ascii="Times New Roman"/>
          <w:b w:val="false"/>
          <w:i w:val="false"/>
          <w:color w:val="000000"/>
          <w:sz w:val="28"/>
        </w:rPr>
        <w:t>
      "18-1. Қазақстан Республикасының тауар нысанында ресми гуманитарлық көмек көрсетуі үшін ұсынылған тауарларды тасымалдау бойынша көлік ұйымдарының шығыстарын өтеу Қазақстан Республикасының Үкіметі Қазақстан Республикасының ресми гуманитарлық көмек көрсетуі туралы шешім қабылдаған күннен бастап он сегіз ай ішінде жүзеге асырылады.".</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