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f897" w14:textId="dcef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2018 жылдың наурыз-маусымында және қыркүйек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22 ақпандағы № 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p>
      <w:pPr>
        <w:spacing w:after="0"/>
        <w:ind w:left="0"/>
        <w:jc w:val="both"/>
      </w:pP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2018 жылдың наурыз - маусымында және қыркүйек - желтоқсанында мерзімді әскери қызметке кезекті шақыру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2018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5-бабы 2-тармағының 11) тармақшасына және "Әскери қызмет және әскери қызметшілердің мәртебесі туралы" 2012 жылғы 16 ақпандағы Қазақстан Республикасы Заңының 31-бабына сәйкес ҚАУЛЫ ЕТЕМІН:</w:t>
      </w:r>
    </w:p>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2018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2018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2018 жылдың наурыз - маусымында және қыркүйек - желтоқсанында азаматтарды мерзімді әскери кызметке шақыруды жүргізуді ұйымдастырсын және қамтамасыз етсін.</w:t>
      </w:r>
    </w:p>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