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98ea" w14:textId="9619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11-бөлімде: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6911"/>
        <w:gridCol w:w="319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6911"/>
        <w:gridCol w:w="319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12-бөлімде:</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7576"/>
        <w:gridCol w:w="2529"/>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 оның аумақтық органдарын және оған ведомстволық бағыныстағы мемлекеттік мекемелерді ескере отырып, оның ішінде: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7576"/>
        <w:gridCol w:w="2529"/>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 оның аумақтық органдарын және оған ведомстволық бағыныстағы мемлекеттік мекемелерді ескере отырып, оның ішінде: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