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c1ec" w14:textId="185c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2017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қыркүйектегі № 548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2017 жылға арналған шекті шамасы есепті айда қордың шотына келіп түскен активтер мөлшерінің 6,85 пайызынан асырылмай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