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d4ab" w14:textId="a90d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геодезия, картография, кадастр және Жерді қашықтықтан зондтау саласындағы мамандарды даярлаудағы, қайта даярлаудағы және олардың біліктілігін арттырудағы ынтымақтастығы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2017 жылғы 24 мамырдағы № 287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геодезия, картография, кадастр және Жерді қашықтықтан зондтау саласындағы мамандарды даярлаудағы, қайта даярлаудағы және олардың біліктілігін арттырудағы ынтымақтастығы туралы </w:t>
      </w:r>
      <w:r>
        <w:rPr>
          <w:rFonts w:ascii="Times New Roman"/>
          <w:b w:val="false"/>
          <w:i w:val="false"/>
          <w:color w:val="000000"/>
          <w:sz w:val="28"/>
        </w:rPr>
        <w:t>келiсiмнің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мамырдағы</w:t>
            </w:r>
            <w:r>
              <w:br/>
            </w:r>
            <w:r>
              <w:rPr>
                <w:rFonts w:ascii="Times New Roman"/>
                <w:b w:val="false"/>
                <w:i w:val="false"/>
                <w:color w:val="000000"/>
                <w:sz w:val="20"/>
              </w:rPr>
              <w:t>№ 287 қаулысымен</w:t>
            </w:r>
            <w:r>
              <w:br/>
            </w:r>
            <w:r>
              <w:rPr>
                <w:rFonts w:ascii="Times New Roman"/>
                <w:b w:val="false"/>
                <w:i w:val="false"/>
                <w:color w:val="000000"/>
                <w:sz w:val="20"/>
              </w:rPr>
              <w:t>мақұлданды</w:t>
            </w:r>
          </w:p>
        </w:tc>
      </w:tr>
    </w:tbl>
    <w:p>
      <w:pPr>
        <w:spacing w:after="0"/>
        <w:ind w:left="0"/>
        <w:jc w:val="both"/>
      </w:pPr>
      <w:r>
        <w:rPr>
          <w:rFonts w:ascii="Times New Roman"/>
          <w:b w:val="false"/>
          <w:i w:val="false"/>
          <w:color w:val="000000"/>
          <w:sz w:val="28"/>
        </w:rPr>
        <w:t>
      Жоба</w:t>
      </w:r>
    </w:p>
    <w:bookmarkStart w:name="z4" w:id="3"/>
    <w:p>
      <w:pPr>
        <w:spacing w:after="0"/>
        <w:ind w:left="0"/>
        <w:jc w:val="left"/>
      </w:pPr>
      <w:r>
        <w:rPr>
          <w:rFonts w:ascii="Times New Roman"/>
          <w:b/>
          <w:i w:val="false"/>
          <w:color w:val="000000"/>
        </w:rPr>
        <w:t xml:space="preserve"> Тәуелсіз Мемлекеттер Достастығына қатысушы мемлекеттердің геодезия, картография, кадастр және Жерді қашықтықтан зондтау саласындағы мамандарды даярлаудағы, қайта даярлаудағы және олардың біліктілігін арттырудағы ынтымақтастығы туралы КЕЛIСIМ</w:t>
      </w:r>
    </w:p>
    <w:bookmarkEnd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p>
      <w:pPr>
        <w:spacing w:after="0"/>
        <w:ind w:left="0"/>
        <w:jc w:val="both"/>
      </w:pPr>
      <w:r>
        <w:rPr>
          <w:rFonts w:ascii="Times New Roman"/>
          <w:b w:val="false"/>
          <w:i w:val="false"/>
          <w:color w:val="000000"/>
          <w:sz w:val="28"/>
        </w:rPr>
        <w:t xml:space="preserve">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келiсiмді және 2007 жылғы 25 мамырдағы Тәуелсіз Мемлекеттер Достастығына қатысушы мемлекеттер мамандарының біліктілігін арттыру және оларды кәсіби қайта даярлау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"Мәскеу геодезия және картография мемлекеттік университеті" жоғары кәсіби білім беретін мемлекеттік білім беру мекемесіне Тәуелсіз Мемлекеттер Достастығына (бұдан әрі – ТМД) қатысушы мемлекеттердің геодезия, картография, кадастр және Жерді қашықтықтан зондтау саласындағы кадрларды даярлау жөніндегі негізгі ұйымы мәртебесін беру туралы Тәуелсіз Мемлекеттер Достастығы үкіметтерінің басшылары кеңесінің 2010 жылғы 21 мамырдағы шешімін назарға ала отырып, </w:t>
      </w:r>
    </w:p>
    <w:p>
      <w:pPr>
        <w:spacing w:after="0"/>
        <w:ind w:left="0"/>
        <w:jc w:val="both"/>
      </w:pPr>
      <w:r>
        <w:rPr>
          <w:rFonts w:ascii="Times New Roman"/>
          <w:b w:val="false"/>
          <w:i w:val="false"/>
          <w:color w:val="000000"/>
          <w:sz w:val="28"/>
        </w:rPr>
        <w:t xml:space="preserve">
      ТМД-ға қатысушы мемлекеттердің геодезия, картография, кадастр және Жерді қашықтықтан зондтау саласындағы ұйымдарының кадрлық әлеуетін дамыту, сондай-ақ жоғарыда көрсетілген саладағы кәсіптік (арнаулы) орта және жоғары білім беру жүйесін жетілдіру қажеттілігін назарға ала отырып, </w:t>
      </w:r>
    </w:p>
    <w:p>
      <w:pPr>
        <w:spacing w:after="0"/>
        <w:ind w:left="0"/>
        <w:jc w:val="both"/>
      </w:pPr>
      <w:r>
        <w:rPr>
          <w:rFonts w:ascii="Times New Roman"/>
          <w:b w:val="false"/>
          <w:i w:val="false"/>
          <w:color w:val="000000"/>
          <w:sz w:val="28"/>
        </w:rPr>
        <w:t>
      ТМД-ға қатысушы мемлекеттердің геодезия, картография, кадастр және Жерді қашықтықтан зондтау саласындағы ұйымдарының мамандарын және білім беру мекемелерінің (ұйымдарының) профессор-оқытушылар құрамын даярлау, қайта даярлау және олардың біліктілігін арттыру (бұдан әрі – геодезия, картография, кадастр және Жерді қашықтықтан зондтау саласындағы мамандарды даярлау, қайта даярлау және олардың біліктілігін арттыру) саласындағы ынтымақтастықты дамыту мақсатында,</w:t>
      </w:r>
    </w:p>
    <w:p>
      <w:pPr>
        <w:spacing w:after="0"/>
        <w:ind w:left="0"/>
        <w:jc w:val="both"/>
      </w:pPr>
      <w:r>
        <w:rPr>
          <w:rFonts w:ascii="Times New Roman"/>
          <w:b w:val="false"/>
          <w:i w:val="false"/>
          <w:color w:val="000000"/>
          <w:sz w:val="28"/>
        </w:rPr>
        <w:t xml:space="preserve">
      ТМД-ға қатысушы мемлекеттерде геодезия, картография, кадастр және Жерді қашықтықтан зондтау саласындағы мамандарды даярлауды, қайта даярлауды және олардың біліктілігін арттыруды қамтамасыз ететін білім беру мекемелерінің (ұйымдарының) болуын ескере отырып, </w:t>
      </w:r>
    </w:p>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мынадай бағыттар:</w:t>
      </w:r>
    </w:p>
    <w:p>
      <w:pPr>
        <w:spacing w:after="0"/>
        <w:ind w:left="0"/>
        <w:jc w:val="both"/>
      </w:pPr>
      <w:r>
        <w:rPr>
          <w:rFonts w:ascii="Times New Roman"/>
          <w:b w:val="false"/>
          <w:i w:val="false"/>
          <w:color w:val="000000"/>
          <w:sz w:val="28"/>
        </w:rPr>
        <w:t xml:space="preserve">
      геодезия, картография, кадастр және Жерді қашықтықтан зондтау саласындағы мамандарды даярлау, қайта даярлау және олардың біліктілігін арттыру; </w:t>
      </w:r>
    </w:p>
    <w:p>
      <w:pPr>
        <w:spacing w:after="0"/>
        <w:ind w:left="0"/>
        <w:jc w:val="both"/>
      </w:pPr>
      <w:r>
        <w:rPr>
          <w:rFonts w:ascii="Times New Roman"/>
          <w:b w:val="false"/>
          <w:i w:val="false"/>
          <w:color w:val="000000"/>
          <w:sz w:val="28"/>
        </w:rPr>
        <w:t xml:space="preserve">
      қазіргі заманғы оқу-әдістемелік және ғылыми-зерттеу материалдарымен, оқу жоспарларымен және білім беру бағдарламаларымен алмасу; </w:t>
      </w:r>
    </w:p>
    <w:p>
      <w:pPr>
        <w:spacing w:after="0"/>
        <w:ind w:left="0"/>
        <w:jc w:val="both"/>
      </w:pPr>
      <w:r>
        <w:rPr>
          <w:rFonts w:ascii="Times New Roman"/>
          <w:b w:val="false"/>
          <w:i w:val="false"/>
          <w:color w:val="000000"/>
          <w:sz w:val="28"/>
        </w:rPr>
        <w:t xml:space="preserve">
      ТМД-ға қатысушы мемлекеттердің білім беру мекемелері (ұйымдары) ұсынатын геодезия, картография, кадастр және Жерді қашықтықтан зондтау саласындағы мамандарды даярлау, қайта даярлау және олардың біліктілігін арттыру мүмкіндіктерін пайдалану бағыттары бойынша ынтымақтастыққа жәрдемдеседі. </w:t>
      </w:r>
    </w:p>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Әрбір Тарап өз мемлекетінің ұлттық заңнамасына және халықаралық шарттарына сәйкес осы Келісімге қатысушы мемлекеттердің азаматтарына геодезия, картография, кадастр және Жерді қашықтықтан зондтау саласындағы мамандарды даярлау, қайта даярлау және олардың біліктілігін арттыру бойынша білім беру қызметтерін алу, оның ішінде жеңілдік негізінде алу мүмкіндігін беруге жәрдемдеседі.</w:t>
      </w:r>
    </w:p>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xml:space="preserve">
      Әрбір Тарап осы Келісімді іске асыру жүктелетін уәкілетті органды (органдарды) айқындайды, бұл туралы Келісімнің күшіне енуі үшін қажетті мемлекетішілік рәсімдердің орындалуы туралы хабарлаумен бірге депозитарийге хабарлайды. </w:t>
      </w:r>
    </w:p>
    <w:p>
      <w:pPr>
        <w:spacing w:after="0"/>
        <w:ind w:left="0"/>
        <w:jc w:val="both"/>
      </w:pPr>
      <w:r>
        <w:rPr>
          <w:rFonts w:ascii="Times New Roman"/>
          <w:b w:val="false"/>
          <w:i w:val="false"/>
          <w:color w:val="000000"/>
          <w:sz w:val="28"/>
        </w:rPr>
        <w:t>
      Уәкілетті органның (органдардың) атауы өзгерген жағдайда, тиісті Тарап бұл туралы депозитарийге хабарлайды.</w:t>
      </w:r>
    </w:p>
    <w:p>
      <w:pPr>
        <w:spacing w:after="0"/>
        <w:ind w:left="0"/>
        <w:jc w:val="both"/>
      </w:pPr>
      <w:r>
        <w:rPr>
          <w:rFonts w:ascii="Times New Roman"/>
          <w:b w:val="false"/>
          <w:i w:val="false"/>
          <w:color w:val="000000"/>
          <w:sz w:val="28"/>
        </w:rPr>
        <w:t>
      Тараптардың уәкілетті органдары осы Келісімді іске асыру мәселелері бойынша тікелей өзара әрекет етеді.</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xml:space="preserve">
      Геодезия, картография, кадастр және Жерді қашықтықтан зондтау саласындағы мамандарды даярлаудың, қайта даярлаудың және олардың біліктілігін арттырудың қаржылық шарттары Тараптардың уәкілетті органдары арасындағы келісімшарттардағы (шарттардағы) өзара уағдаластықтар негізінде ұлттық заңнамаға сәйкес оларға жүктелген функцияларды орындау үшін ұлттық бюджеттерде көзделген қаражат шегінде айқындалады. </w:t>
      </w:r>
    </w:p>
    <w:p>
      <w:pPr>
        <w:spacing w:after="0"/>
        <w:ind w:left="0"/>
        <w:jc w:val="both"/>
      </w:pPr>
      <w:r>
        <w:rPr>
          <w:rFonts w:ascii="Times New Roman"/>
          <w:b w:val="false"/>
          <w:i w:val="false"/>
          <w:color w:val="000000"/>
          <w:sz w:val="28"/>
        </w:rPr>
        <w:t>
      Тараптар осы Келісімге қатысушы мемлекеттердің заңнамасында тыйым салынбаған қаржыландырудың басқа да көздерін, сондай-ақ өзара есеп айырысудың әртүрлі нысандарын пайдалануға құқылы.</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Келісімге қатысушы мемлекеттердің заңнамасында айқындалған тәртіппен Тараптар геодезия, картография, кадастр және Жерді қашықтықтан зондтау саласындағы мамандарды даярлаудың, қайта даярлаудың және олардың біліктілігін арттырудың ұлттық жүйесі туралы ақпарат алмасуға жәрдемдеседі.</w:t>
      </w:r>
    </w:p>
    <w:p>
      <w:pPr>
        <w:spacing w:after="0"/>
        <w:ind w:left="0"/>
        <w:jc w:val="both"/>
      </w:pPr>
      <w:r>
        <w:rPr>
          <w:rFonts w:ascii="Times New Roman"/>
          <w:b w:val="false"/>
          <w:i w:val="false"/>
          <w:color w:val="000000"/>
          <w:sz w:val="28"/>
        </w:rPr>
        <w:t>
      Осы Келісімді іске асыру жүктелген уәкілетті органдар Геодезия, картография, кадастр және Жерді қашықтықтан зондтау жөніндегі мемлекетаралық кеңес отырыстарында (сессияларында) немесе қажеттілігіне қарай сұрау салу арқылы оқу-әдістемелік және ғылыми-зерттеу материалдарымен, оқу жоспарларымен және білім беру бағдарламаларымен, ғылыми-практикалық конференциялар, геодезия, картография, кадастр және Жерді қашықтықтан зондтау саласындағы мамандарды даярлау, қайта даярлау және олардың біліктілігін арттыру аясындағы өзге де іс-шаралар өткізу туралы ақпарат алмасады.</w:t>
      </w:r>
    </w:p>
    <w:bookmarkStart w:name="z10"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Тараптардың бірі осы Келісімді іске асыру барысында алған ақпаратты басқа Тараптардың мүддесіне нұқсан келтіретіндей пайдалана алмайды.</w:t>
      </w:r>
    </w:p>
    <w:p>
      <w:pPr>
        <w:spacing w:after="0"/>
        <w:ind w:left="0"/>
        <w:jc w:val="both"/>
      </w:pPr>
      <w:r>
        <w:rPr>
          <w:rFonts w:ascii="Times New Roman"/>
          <w:b w:val="false"/>
          <w:i w:val="false"/>
          <w:color w:val="000000"/>
          <w:sz w:val="28"/>
        </w:rPr>
        <w:t>
      Тараптар осы Келісім шеңберінде ынтымақтасу кезінде ақпаратты, оның ішінде құпия ақпаратты қолдануды және оны қорғауды өз мемлекеттерінің ұлттық заңнамасына және халықаралық шарттарына сәйкес жүзеге асырады.</w:t>
      </w:r>
    </w:p>
    <w:bookmarkStart w:name="z11"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 арасындағы осы Келісімді қолдануға және түсіндіруге байланысты даулы мәселелер мүдделі Тараптардың консультациялары мен келіссөздері арқылы шешіледі.</w:t>
      </w:r>
    </w:p>
    <w:bookmarkStart w:name="z12"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да халықаралық шарттар бойынша құқықтары мен міндеттемелерін қозғамайды.</w:t>
      </w:r>
    </w:p>
    <w:bookmarkStart w:name="z13"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 оған қол қойған Тараптар оның күшіне ену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хабарламаны алған күннен бастап 30 күн өткен соң күшіне енеді.</w:t>
      </w:r>
    </w:p>
    <w:bookmarkStart w:name="z14"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xml:space="preserve">
      Осы Келісім күшіне енгеннен кейін осы Келісімнің ережелерін қолдайтын ТМД-ға қатысушы кез келген мемлекеттің депозитарийге қосылу туралы құжатты беру арқылы қосылуы үшін ашық. </w:t>
      </w:r>
    </w:p>
    <w:p>
      <w:pPr>
        <w:spacing w:after="0"/>
        <w:ind w:left="0"/>
        <w:jc w:val="both"/>
      </w:pPr>
      <w:r>
        <w:rPr>
          <w:rFonts w:ascii="Times New Roman"/>
          <w:b w:val="false"/>
          <w:i w:val="false"/>
          <w:color w:val="000000"/>
          <w:sz w:val="28"/>
        </w:rPr>
        <w:t xml:space="preserve">
      Келісім қосылған мемлекет үшін депозитарий қосылу туралы құжатты алған күннен бастап 30 күн өткен соң күшіне енеді. </w:t>
      </w:r>
    </w:p>
    <w:bookmarkStart w:name="z15"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ресімделетін өзгерістер мен толықтырулар енгізілуі мүмкін.</w:t>
      </w:r>
    </w:p>
    <w:bookmarkStart w:name="z16"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өзінің шығу ниеті туралы депозитарийге шығу уақытынан кемінде 6 ай бұрын жазбаша хабарламаны жіберіп және осы Келісім қолданыста болған уақытта туындаған қаржылық және өзге де міндеттемелерді реттеп, одан шығуға құқылы.</w:t>
      </w:r>
    </w:p>
    <w:p>
      <w:pPr>
        <w:spacing w:after="0"/>
        <w:ind w:left="0"/>
        <w:jc w:val="both"/>
      </w:pPr>
      <w:r>
        <w:rPr>
          <w:rFonts w:ascii="Times New Roman"/>
          <w:b w:val="false"/>
          <w:i w:val="false"/>
          <w:color w:val="000000"/>
          <w:sz w:val="28"/>
        </w:rPr>
        <w:t xml:space="preserve">
      2017 жылғы 26 мамырда Қазан қаласында орыс тілінде бір төлнұсқа данада жасалды. Төлнұсқа дана Тәуелсіз Мемлекеттер Достастығының Атқарушы комитетінде сақталады, ол оның расталған көшірмесін осы Келісімге қол қойған әрбір мемлекетке жібереді. </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Ресей Федерациясының </w:t>
                  </w:r>
                  <w:r>
                    <w:br/>
                  </w:r>
                  <w:r>
                    <w:rPr>
                      <w:rFonts w:ascii="Times New Roman"/>
                      <w:b w:val="false"/>
                      <w:i/>
                      <w:color w:val="000000"/>
                      <w:sz w:val="20"/>
                    </w:rPr>
                    <w:t>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w:t>
                  </w:r>
                  <w:r>
                    <w:br/>
                  </w:r>
                  <w:r>
                    <w:rPr>
                      <w:rFonts w:ascii="Times New Roman"/>
                      <w:b w:val="false"/>
                      <w:i/>
                      <w:color w:val="000000"/>
                      <w:sz w:val="20"/>
                    </w:rPr>
                    <w:t>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w:t>
                  </w:r>
                  <w:r>
                    <w:br/>
                  </w:r>
                  <w:r>
                    <w:rPr>
                      <w:rFonts w:ascii="Times New Roman"/>
                      <w:b w:val="false"/>
                      <w:i/>
                      <w:color w:val="000000"/>
                      <w:sz w:val="20"/>
                    </w:rPr>
                    <w:t>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w:t>
                  </w:r>
                  <w:r>
                    <w:br/>
                  </w:r>
                  <w:r>
                    <w:rPr>
                      <w:rFonts w:ascii="Times New Roman"/>
                      <w:b w:val="false"/>
                      <w:i/>
                      <w:color w:val="000000"/>
                      <w:sz w:val="20"/>
                    </w:rPr>
                    <w:t>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w:t>
                  </w:r>
                  <w:r>
                    <w:br/>
                  </w:r>
                  <w:r>
                    <w:rPr>
                      <w:rFonts w:ascii="Times New Roman"/>
                      <w:b w:val="false"/>
                      <w:i/>
                      <w:color w:val="000000"/>
                      <w:sz w:val="20"/>
                    </w:rPr>
                    <w:t>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