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02d2" w14:textId="8bc0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әлемнің ең дамыған 30 мемлекетінің қатарына кіруі жөніндегі тұжырымдаманы іске асыру бойынша 2014 – 2020 жылдарға арналған іс-шаралар жоспарын бекіту туралы" Қазақстан Республикасы Үкіметінің 2014 жылғы 30 маусымдағы № 752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27 қаңтардағы № 22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"Қазақстанның әлемнің ең дамыған 30 мемлекетінің қатарына кіруі жөніндегі тұжырымдаманы іске асыру бойынша 2014 – 2020 жылдарға арналған іс-шаралар жоспарын бекіту туралы" Қазақстан Республикасы Үкіметінің 2014 жылғы 30 маусымдағы № 752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"2) жылдың қорытындысы бойынша, есепті жылдан кейінгі жылдың 1 ақпанынан кешіктірмей Қазақстан Республикасының Ұлттық экономика министрлігіне оның іске асырылу барысы туралы ақпарат берсін.";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есепті жылдан кейінгі жылдың 20 ақпанынан кешіктірмей Қазақстан Республикасының Үкіметіне Жоспардың іске асырылу барысы туралы жиынтық ақпарат берсін.";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Қазақстанның әлемнің ең дамыған 30 мемлекетінің қатарына кіруі жөніндегі тұжырымдаманы іске асыру бойынша 2014 – 2020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7"/>
    <w:p>
      <w:pPr>
        <w:spacing w:after="0"/>
        <w:ind w:left="0"/>
        <w:jc w:val="left"/>
      </w:pPr>
      <w:r>
        <w:rPr>
          <w:rFonts w:ascii="Times New Roman"/>
          <w:b/>
          <w:i w:val="false"/>
          <w:color w:val="000000"/>
        </w:rPr>
        <w:t xml:space="preserve"> Қазақстанның әлемнің ең дамыған 30 мемлекетінің қатарына кіруі жөніндегі тұжырымдаманы іске асыру бойынша 2014 – 2020 жылдарға арналған іс-шаралар жоспары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2835"/>
        <w:gridCol w:w="1876"/>
        <w:gridCol w:w="1876"/>
        <w:gridCol w:w="1876"/>
        <w:gridCol w:w="1876"/>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8"/>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701"/>
        <w:gridCol w:w="677"/>
        <w:gridCol w:w="2460"/>
        <w:gridCol w:w="1760"/>
        <w:gridCol w:w="249"/>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1</w:t>
            </w:r>
          </w:p>
          <w:bookmarkEnd w:id="9"/>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1. Адами капиталды дамыту</w:t>
            </w:r>
          </w:p>
          <w:bookmarkEnd w:id="1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1. Білім беруді және бірегей қазақстандық мәдениетті дамыту</w:t>
            </w:r>
          </w:p>
          <w:bookmarkEnd w:id="11"/>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1.</w:t>
            </w:r>
          </w:p>
          <w:bookmarkEnd w:id="12"/>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бағдарламасын экономиканың ғылымды көп қажет ететін жоғары технологиялық салалары үшін мамандар даярлауға бағдарлау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ҰЭМ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2.</w:t>
            </w:r>
          </w:p>
          <w:bookmarkEnd w:id="13"/>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елдегі жоғары технологиялық стартаптарда білім алушылардың тағылымдамаларын ұйымдастыру мәселесін қарау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3.</w:t>
            </w:r>
          </w:p>
          <w:bookmarkEnd w:id="14"/>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театр, музыка, көркемөнер және әдебиет салаларында сапалы жаңа мәдени өнімдер жасауды ынталандыру жөнінде шаралар қабылдау</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4.</w:t>
            </w:r>
          </w:p>
          <w:bookmarkEnd w:id="15"/>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одан әрі дамыту жөніндегі шаралар кешенін іске асыру. 2020 жылға қарай инклюзивті білім беру үшін жағдайлар жасаған мектептердің үлесі 70 %-ды құрауы тиіс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2. Халықтың денсаулығын жақсарту</w:t>
            </w:r>
          </w:p>
          <w:bookmarkEnd w:id="16"/>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5.</w:t>
            </w:r>
          </w:p>
          <w:bookmarkEnd w:id="17"/>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субъектілерінің GхP (GLP, GCP, GMP, GDP, GPP, GVP) тиісті фармацевтикалық практикаларын енгізуіне дайындық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2016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6.</w:t>
            </w:r>
          </w:p>
          <w:bookmarkEnd w:id="18"/>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саласында белсенді ынтымақтастықты қамтамасыз ету үшін РIC/S фармацевтикалық инспекциялық органдардың халықаралық ұйымына кіру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7.</w:t>
            </w:r>
          </w:p>
          <w:bookmarkEnd w:id="19"/>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медициналық ЖОО-лардың зерттеу университеттері мәртебесін алуы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(жинақтау), БҒМ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8.</w:t>
            </w:r>
          </w:p>
          <w:bookmarkEnd w:id="20"/>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мейіргер ісі мамандарын даярлау жүйесін (ТжКБ, қолданбалы бакалавриат, бакалавриат, магистратура, PhD докторантурасы) Еуропалық директиваларға сәйкес келтіру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(жинақтау), БҒМ, облыстардың, Астана және Алматы қалаларының әкімдіктері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3. Халықты әлеуметтік қорғау жүйесін жетілдіру</w:t>
            </w:r>
          </w:p>
          <w:bookmarkEnd w:id="2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Халықтың осал топтарын әлеуметтік қорғауды қамтамасыз ету</w:t>
            </w:r>
          </w:p>
          <w:bookmarkEnd w:id="22"/>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9.</w:t>
            </w:r>
          </w:p>
          <w:bookmarkEnd w:id="23"/>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өзін-өзі жұмыспен арасында, жұмыссыз және аз қамтылған топтары арасында кәсіптік бағдарлау мен мамандық таңдауда көмек көрсету бойынша шаралар қабылдау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10.</w:t>
            </w:r>
          </w:p>
          <w:bookmarkEnd w:id="24"/>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қажеттіліктерін ескере отырып, орта, техникалық және кәсіптік, орта білімнен кейінгі, жоғары білім берудің бағдарламаларын қайта қарау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ДСӘДМ, облыстардың, Астана және Алматы қалаларының әкімдіктері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Еңбек қатынастарын жетілдіру</w:t>
            </w:r>
          </w:p>
          <w:bookmarkEnd w:id="25"/>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11.</w:t>
            </w:r>
          </w:p>
          <w:bookmarkEnd w:id="26"/>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және еңбек гигиенасына жәрдемдесетін негіздер туралы конвенцияны (187-Конвенция) ратификациялауды қамтамасыз ету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12.</w:t>
            </w:r>
          </w:p>
          <w:bookmarkEnd w:id="27"/>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еңбек қатынастары және еңбекті қорғау мәселелері бойынша өзгерістер мен толықтырулар енгізу туралы" Қазақстан Республикасының Заңы жобасының тұжырымдамасын әзірлеу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жобалау қызметi мәселелерi жөніндегі ВАК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2. Институционалдық ортаны жетілдіру</w:t>
            </w:r>
          </w:p>
          <w:bookmarkEnd w:id="2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1. Басқару жүйесін және сот-құқық қорғау жүйесін жаңғырту</w:t>
            </w:r>
          </w:p>
          <w:bookmarkEnd w:id="2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Сот жүйесін жетілдіру</w:t>
            </w:r>
          </w:p>
          <w:bookmarkEnd w:id="30"/>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13.</w:t>
            </w:r>
          </w:p>
          <w:bookmarkEnd w:id="31"/>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үстемдігін нығайту, сондай-ақ ұлттық заңнамаға сот ісін жүргізудің халықаралық қағидаттарын одан әрі имплементациялау бойынша ұсыныстар енгізу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 (жинақтау), БП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қаңтар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14.</w:t>
            </w:r>
          </w:p>
          <w:bookmarkEnd w:id="32"/>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инстанциядағы соттардың рөлін күшейту, соттарға құқықтан тыс ықпал етуге қарсы іс-қимыл жасау, оларға деген сенімді арттыру бойынша шаралар қабылдау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 (жинақтау), БП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15.</w:t>
            </w:r>
          </w:p>
          <w:bookmarkEnd w:id="33"/>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 судьялар институтын енгізу мәселесін, сондай-ақ бір сотта бірнеше сот инстанцияларының жұмыс істеуі мәселесін зерделеу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ақпан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16.</w:t>
            </w:r>
          </w:p>
          <w:bookmarkEnd w:id="34"/>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Бітімгерлік рәсімдерін және медиацияны қолдана отырып, дауларды соттан тыс реттеу институттарының қызметін жетілдіру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17.</w:t>
            </w:r>
          </w:p>
          <w:bookmarkEnd w:id="35"/>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қылмыстық сот ісін жүргізуде сот рәсімдерін оңайлату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Елдегі сыбайлас жемқорлық деңгейін төмендету</w:t>
            </w:r>
          </w:p>
          <w:bookmarkEnd w:id="36"/>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18.</w:t>
            </w:r>
          </w:p>
          <w:bookmarkEnd w:id="37"/>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Стамбул сыбайлас жемқорлыққа қарсы күрес жөніндегі іс-қимыл жоспарын мониторингтеудің үшінші раундының ұсынымдарын ескере отырып, сыбайлас жемқорлыққа қарсы іс-қимыл саласындағы заңнаманы одан әрі жетілдіру бойынша шаралар қабылдау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ЭСЖКА (келісім бойынша) (жинақтау), БП (келісім бойынша), ІІМ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2. Шағын және орта бизнесті дамыту</w:t>
            </w:r>
          </w:p>
          <w:bookmarkEnd w:id="38"/>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19.</w:t>
            </w:r>
          </w:p>
          <w:bookmarkEnd w:id="39"/>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университеттермен әріптестікті кеңейтуге назар аудара отырып, сондай-ақ кәсіпкерлік қызметтің практикасын қамтамасыз ету жолымен ЖОО-да іскерлік білім беру сапасын жақсарту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"Атамекен" ҰКП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2017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3. Зияткерлік меншікті қорғау жүйесін жетілдіру</w:t>
            </w:r>
          </w:p>
          <w:bookmarkEnd w:id="40"/>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20.</w:t>
            </w:r>
          </w:p>
          <w:bookmarkEnd w:id="41"/>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электрондық түрде бергені үшін патенттік баж мөлшерін азайтумен бір мезгілде электрондық үкімет порталы арқылы патенттер алуға өтінімдерді электрондық түрде беру мүмкіндігін қамтамасыз ету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(жинақтау), БАА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w:t>
            </w:r>
            <w:r>
              <w:br/>
            </w:r>
            <w:r>
              <w:rPr>
                <w:rFonts w:ascii="Times New Roman"/>
                <w:b w:val="false"/>
                <w:i w:val="false"/>
                <w:color w:val="000000"/>
                <w:sz w:val="20"/>
              </w:rPr>
              <w:t>
қаңтар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3. Ғылымды көп қажет ететін экономика салаларын дамыту</w:t>
            </w:r>
          </w:p>
          <w:bookmarkEnd w:id="4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1. Өнеркәсіптің базалық салаларын дамыту</w:t>
            </w:r>
          </w:p>
          <w:bookmarkEnd w:id="43"/>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21.</w:t>
            </w:r>
          </w:p>
          <w:bookmarkEnd w:id="44"/>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компанияларды, ұлттық ғылыми-зерттеу институттарын және шетелдік мердігер компанияларды біріктіретін мұнай саласындағы "экожүйелер" құру үшін шаралар қабылдау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"ҚазМұнайГаз" ҰК" АҚ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22.</w:t>
            </w:r>
          </w:p>
          <w:bookmarkEnd w:id="45"/>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мұнай-газ саласындағы инженерлік-техникалық персоналды озық халықаралық тәжірибемен және инновациялық техникалық-технологиялық шешімдермен ауқымды таныстырудың коммуникациялық алаңдарын қалыптастыру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мүдделі мемлекеттік органдар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2018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2. Өңдеу өнеркәсібін дамыту</w:t>
            </w:r>
          </w:p>
          <w:bookmarkEnd w:id="46"/>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23.</w:t>
            </w:r>
          </w:p>
          <w:bookmarkEnd w:id="47"/>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нарықтарындағы техникалық кедергілерді жою мақсатында стандарттау жөніндегі халықаралық техникалық комитеттердің, стандарттау жөніндегі мемлекетаралық және өңірлік ұйымдардың жұмысына белсенді қатысуды қамтамасыз ету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мүдделі мемлекеттік органдар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3. Жоғары технологиялық агроөнеркәсіптік кешен құру</w:t>
            </w:r>
          </w:p>
          <w:bookmarkEnd w:id="48"/>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24.</w:t>
            </w:r>
          </w:p>
          <w:bookmarkEnd w:id="49"/>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әлемнің ең дамыған 30 мемлекетінің қатарына кіруі жөніндегі тұжырымдаманың ережелерін ескере отырып, "Қазақстан Республикасында агроөнеркәсіптік кешенді дамыту жөніндегі 2013 – 2020 жылдарға арналған "Агробизнес-2020" бағдарламасын бекіту туралы" Қазақстан Республикасы Үкіметінің 2013 жылғы 18 ақпандағы № 151 қаулысына өзгеріс енгізу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ЭБЖМ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маусым</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4. Көрсетілетін қызметтер секторын дамыту</w:t>
            </w:r>
          </w:p>
          <w:bookmarkEnd w:id="50"/>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25.</w:t>
            </w:r>
          </w:p>
          <w:bookmarkEnd w:id="51"/>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көрсетілетін қызметтер провайдерлерінің мүмкіндіктерін, оның ішінде мультимодальды тасымалдар мәселелері бойынша нормативтік құқықтық базаны жетілдіру есебінен кеңейту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"ҚТЖ" ҰК" АҚ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26.</w:t>
            </w:r>
          </w:p>
          <w:bookmarkEnd w:id="52"/>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ғарыш қызметі мәселелері бойынша өзгерістер мен толықтырулар енгізу туралы" Қазақстан Республикасының Заңы жобасының тұжырымдамасын әзірлеу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жобалау қызметі мәселелері жөніндегі ВАК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ҰҒА (жинақтау), мүдделі мемлекеттік органдар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w:t>
            </w:r>
            <w:r>
              <w:br/>
            </w:r>
            <w:r>
              <w:rPr>
                <w:rFonts w:ascii="Times New Roman"/>
                <w:b w:val="false"/>
                <w:i w:val="false"/>
                <w:color w:val="000000"/>
                <w:sz w:val="20"/>
              </w:rPr>
              <w:t>
шілде</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4. Ғылымды көп қажет ететін экономиканың инфрақұрылымын жеделдете қалыптастыру</w:t>
            </w:r>
          </w:p>
          <w:bookmarkEnd w:id="5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1. Өсу факторларының өнімділігін арттыру</w:t>
            </w:r>
          </w:p>
          <w:bookmarkEnd w:id="54"/>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27.</w:t>
            </w:r>
          </w:p>
          <w:bookmarkEnd w:id="55"/>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"бенчмаркаларға" сәйкес экономиканың барлық салалары үшін өнімділікті мониторингтеудің ұлттық жүйесін әзірлеу бойынша ұсыныстар енгізу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СА,</w:t>
            </w:r>
            <w:r>
              <w:br/>
            </w:r>
            <w:r>
              <w:rPr>
                <w:rFonts w:ascii="Times New Roman"/>
                <w:b w:val="false"/>
                <w:i w:val="false"/>
                <w:color w:val="000000"/>
                <w:sz w:val="20"/>
              </w:rPr>
              <w:t>
мүдделі мемлекеттік органдар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қаңтар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2. Ұлттық инновациялық жүйені дамыту</w:t>
            </w:r>
          </w:p>
          <w:bookmarkEnd w:id="56"/>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28.</w:t>
            </w:r>
          </w:p>
          <w:bookmarkEnd w:id="57"/>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әзірлемелер мен жаңа технологиялардың сараптамалары жүйесін жетілдіру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БҒМ, мүдделі мемлекеттік органдар, "Бәйтерек" ҰБХ" АҚ (келісім бойынша), "ТДҰА" АҚ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w:t>
            </w:r>
            <w:r>
              <w:br/>
            </w:r>
            <w:r>
              <w:rPr>
                <w:rFonts w:ascii="Times New Roman"/>
                <w:b w:val="false"/>
                <w:i w:val="false"/>
                <w:color w:val="000000"/>
                <w:sz w:val="20"/>
              </w:rPr>
              <w:t>
қаңтар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29.</w:t>
            </w:r>
          </w:p>
          <w:bookmarkEnd w:id="58"/>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перспективалы инновациялық идеялар мен жобаларды анықтау және қолдау, оларды енгізу, масштабтау және ілгерілету, сондай-ақ талантты инноваторларды іздеу және қолдау мақсатында мемлекеттік қолдау құралдарының жүйесін іске асыру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БҒМ, мүдделі мемлекеттік органдар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3. Инфрақұрылымдық шектеулерді жою</w:t>
            </w:r>
          </w:p>
          <w:bookmarkEnd w:id="59"/>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30.</w:t>
            </w:r>
          </w:p>
          <w:bookmarkEnd w:id="60"/>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көлік мәселелері бойынша өзгерістер мен толықтырулар енгізу туралы" Қазақстан Республикасының Заңы жобасының тұжырымдамасын әзірлеу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жобалау қызметі мәселелері жөніндегі ВАК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мүдделі мемлекеттік органдар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шілде</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4. "Жасыл экономикаға" көшу арқылы тұрақты даму</w:t>
            </w:r>
          </w:p>
          <w:bookmarkEnd w:id="61"/>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31.</w:t>
            </w:r>
          </w:p>
          <w:bookmarkEnd w:id="62"/>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энергияны көп қажет етуін төмендету және өндірістің эталондық тәсілдерін енгізген компанияларды қолдау мақсатында "Энергия тиімділіктегі көшбасшы" бағдарламасын әзірлеу және енгізу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ЭБЖМ, мүдделі мемлекеттік органдар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қаңтар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32.</w:t>
            </w:r>
          </w:p>
          <w:bookmarkEnd w:id="63"/>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алумен бірге қалдықтарды қайта пайдалану тетігін енгізу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2016 – 2020 жылдар аралығында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33.</w:t>
            </w:r>
          </w:p>
          <w:bookmarkEnd w:id="64"/>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 іргелес аумақтардағы қоршаған ортаны қорғау мен қалпына келтіруге инвестиция салуға ынталандыратын "таза шығындардың болмауы" тетігін енгізу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(жинақтау), ЭБЖМ, МГМ, мүдделі мемлекеттік органдар, облыстардың, Астана және Алматы қалаларының әкімдіктері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қаңтар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34.</w:t>
            </w:r>
          </w:p>
          <w:bookmarkEnd w:id="65"/>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экономиканың" мынадай: ұлттық желіге ықпалдастырылмаған жаңартылатын энергия көздерін пайдалану, тиімді ауыл шаруашылығы (жылыжай шаруашылықтарын құра және тамшылатып суаруды пайдалана отырып), қалдықтарды орталықтандырылған жинауды ұйымдастыру, кәдеге жарату және қайта өңдеу, тұйық ресурстық циклге көшу қағидаттарына сәйкес бірнеше (2-3) пилоттық тірек ауылдық елді мекендерді, шалғайдағы ауылдар мен кенттерді трансформациялау бойынша жоспар әзірлеу және қайта құруларды жүзеге асыру бойынша ұсыныстар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(жинақтау), АШМ, ӨДМ, облыстардың, Астана және Алматы қалаларының әкімдіктері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қаңтар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5. Әлемдік және өңірлік экономикаға ықпалдасуды тереңдету</w:t>
            </w:r>
          </w:p>
          <w:bookmarkEnd w:id="66"/>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35.</w:t>
            </w:r>
          </w:p>
          <w:bookmarkEnd w:id="67"/>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көлемін үдету арқылы Орталық Азия елдерімен байланыстарды тереңдетуді қамтамасыз ету бойынша ұсыныстар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СІМ, ҰЭМ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83" w:id="68"/>
    <w:p>
      <w:pPr>
        <w:spacing w:after="0"/>
        <w:ind w:left="0"/>
        <w:jc w:val="both"/>
      </w:pPr>
      <w:r>
        <w:rPr>
          <w:rFonts w:ascii="Times New Roman"/>
          <w:b w:val="false"/>
          <w:i w:val="false"/>
          <w:color w:val="000000"/>
          <w:sz w:val="28"/>
        </w:rPr>
        <w:t>
      Ескертпе: аббревиатуралардың толық жазылуы:</w:t>
      </w:r>
    </w:p>
    <w:bookmarkEnd w:id="68"/>
    <w:tbl>
      <w:tblPr>
        <w:tblW w:w="0" w:type="auto"/>
        <w:tblCellSpacing w:w="0" w:type="auto"/>
        <w:tblBorders>
          <w:top w:val="none"/>
          <w:left w:val="none"/>
          <w:bottom w:val="none"/>
          <w:right w:val="none"/>
          <w:insideH w:val="none"/>
          <w:insideV w:val="none"/>
        </w:tblBorders>
      </w:tblPr>
      <w:tblGrid>
        <w:gridCol w:w="1247"/>
        <w:gridCol w:w="422"/>
        <w:gridCol w:w="10631"/>
      </w:tblGrid>
      <w:tr>
        <w:trPr>
          <w:trHeight w:val="30" w:hRule="atLeast"/>
        </w:trPr>
        <w:tc>
          <w:tcPr>
            <w:tcW w:w="1247" w:type="dxa"/>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БП</w:t>
            </w:r>
          </w:p>
          <w:bookmarkEnd w:id="69"/>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1247" w:type="dxa"/>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ЖС</w:t>
            </w:r>
          </w:p>
          <w:bookmarkEnd w:id="70"/>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1247" w:type="dxa"/>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СІМ</w:t>
            </w:r>
          </w:p>
          <w:bookmarkEnd w:id="71"/>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r>
      <w:tr>
        <w:trPr>
          <w:trHeight w:val="30" w:hRule="atLeast"/>
        </w:trPr>
        <w:tc>
          <w:tcPr>
            <w:tcW w:w="1247" w:type="dxa"/>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ИДМ</w:t>
            </w:r>
          </w:p>
          <w:bookmarkEnd w:id="72"/>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247" w:type="dxa"/>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МСМ</w:t>
            </w:r>
          </w:p>
          <w:bookmarkEnd w:id="73"/>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247" w:type="dxa"/>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БҒМ</w:t>
            </w:r>
          </w:p>
          <w:bookmarkEnd w:id="74"/>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247" w:type="dxa"/>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ЭМ</w:t>
            </w:r>
          </w:p>
          <w:bookmarkEnd w:id="75"/>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247" w:type="dxa"/>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АШМ</w:t>
            </w:r>
          </w:p>
          <w:bookmarkEnd w:id="76"/>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 </w:t>
            </w:r>
          </w:p>
        </w:tc>
      </w:tr>
      <w:tr>
        <w:trPr>
          <w:trHeight w:val="30" w:hRule="atLeast"/>
        </w:trPr>
        <w:tc>
          <w:tcPr>
            <w:tcW w:w="1247" w:type="dxa"/>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ІІМ</w:t>
            </w:r>
          </w:p>
          <w:bookmarkEnd w:id="77"/>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1247" w:type="dxa"/>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ҰЭМ</w:t>
            </w:r>
          </w:p>
          <w:bookmarkEnd w:id="78"/>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247" w:type="dxa"/>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ДСӘДМ</w:t>
            </w:r>
          </w:p>
          <w:bookmarkEnd w:id="79"/>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1247" w:type="dxa"/>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Әділетмині</w:t>
            </w:r>
          </w:p>
          <w:bookmarkEnd w:id="80"/>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1247" w:type="dxa"/>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ДСМ</w:t>
            </w:r>
          </w:p>
          <w:bookmarkEnd w:id="81"/>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247" w:type="dxa"/>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ЭБЖМ</w:t>
            </w:r>
          </w:p>
          <w:bookmarkEnd w:id="82"/>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w:t>
            </w:r>
          </w:p>
        </w:tc>
      </w:tr>
      <w:tr>
        <w:trPr>
          <w:trHeight w:val="30" w:hRule="atLeast"/>
        </w:trPr>
        <w:tc>
          <w:tcPr>
            <w:tcW w:w="1247" w:type="dxa"/>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Еңбекмині</w:t>
            </w:r>
          </w:p>
          <w:bookmarkEnd w:id="83"/>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1247" w:type="dxa"/>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ЭСЖКА</w:t>
            </w:r>
          </w:p>
          <w:bookmarkEnd w:id="84"/>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w:t>
            </w:r>
          </w:p>
        </w:tc>
      </w:tr>
      <w:tr>
        <w:trPr>
          <w:trHeight w:val="30" w:hRule="atLeast"/>
        </w:trPr>
        <w:tc>
          <w:tcPr>
            <w:tcW w:w="1247" w:type="dxa"/>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БАА</w:t>
            </w:r>
          </w:p>
          <w:bookmarkEnd w:id="85"/>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Байланыс және ақпарат агенттігі</w:t>
            </w:r>
          </w:p>
        </w:tc>
      </w:tr>
      <w:tr>
        <w:trPr>
          <w:trHeight w:val="30" w:hRule="atLeast"/>
        </w:trPr>
        <w:tc>
          <w:tcPr>
            <w:tcW w:w="1247" w:type="dxa"/>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ҰҒА</w:t>
            </w:r>
          </w:p>
          <w:bookmarkEnd w:id="86"/>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ғарыш агенттігі</w:t>
            </w:r>
          </w:p>
        </w:tc>
      </w:tr>
      <w:tr>
        <w:trPr>
          <w:trHeight w:val="30" w:hRule="atLeast"/>
        </w:trPr>
        <w:tc>
          <w:tcPr>
            <w:tcW w:w="1247" w:type="dxa"/>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ИЖТМ</w:t>
            </w:r>
          </w:p>
          <w:bookmarkEnd w:id="87"/>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r>
      <w:tr>
        <w:trPr>
          <w:trHeight w:val="30" w:hRule="atLeast"/>
        </w:trPr>
        <w:tc>
          <w:tcPr>
            <w:tcW w:w="1247" w:type="dxa"/>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ҚОСРМ</w:t>
            </w:r>
          </w:p>
          <w:bookmarkEnd w:id="88"/>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w:t>
            </w:r>
          </w:p>
        </w:tc>
      </w:tr>
      <w:tr>
        <w:trPr>
          <w:trHeight w:val="30" w:hRule="atLeast"/>
        </w:trPr>
        <w:tc>
          <w:tcPr>
            <w:tcW w:w="1247" w:type="dxa"/>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МГМ</w:t>
            </w:r>
          </w:p>
          <w:bookmarkEnd w:id="89"/>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 және газ министрлігі</w:t>
            </w:r>
          </w:p>
        </w:tc>
      </w:tr>
      <w:tr>
        <w:trPr>
          <w:trHeight w:val="30" w:hRule="atLeast"/>
        </w:trPr>
        <w:tc>
          <w:tcPr>
            <w:tcW w:w="1247" w:type="dxa"/>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ӨДМ</w:t>
            </w:r>
          </w:p>
          <w:bookmarkEnd w:id="90"/>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r>
      <w:tr>
        <w:trPr>
          <w:trHeight w:val="30" w:hRule="atLeast"/>
        </w:trPr>
        <w:tc>
          <w:tcPr>
            <w:tcW w:w="1247" w:type="dxa"/>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СА</w:t>
            </w:r>
          </w:p>
          <w:bookmarkEnd w:id="91"/>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w:t>
            </w:r>
          </w:p>
        </w:tc>
      </w:tr>
      <w:tr>
        <w:trPr>
          <w:trHeight w:val="30" w:hRule="atLeast"/>
        </w:trPr>
        <w:tc>
          <w:tcPr>
            <w:tcW w:w="1247" w:type="dxa"/>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"Атамекен" ҰКП</w:t>
            </w:r>
          </w:p>
          <w:bookmarkEnd w:id="92"/>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1247" w:type="dxa"/>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"ҚазМұнайГаз" ҰК" АҚ</w:t>
            </w:r>
          </w:p>
          <w:bookmarkEnd w:id="93"/>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1247" w:type="dxa"/>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"ҚТЖ" ҰК" АҚ</w:t>
            </w:r>
          </w:p>
          <w:bookmarkEnd w:id="94"/>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1247" w:type="dxa"/>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"Бәйтерек" ҰБХ" АҚ</w:t>
            </w:r>
          </w:p>
          <w:bookmarkEnd w:id="95"/>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1247" w:type="dxa"/>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"ТДҰА" АҚ</w:t>
            </w:r>
          </w:p>
          <w:bookmarkEnd w:id="96"/>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даму жөніндегі ұлттық агенттік" акционерлік қоғамы</w:t>
            </w:r>
          </w:p>
        </w:tc>
      </w:tr>
      <w:tr>
        <w:trPr>
          <w:trHeight w:val="30" w:hRule="atLeast"/>
        </w:trPr>
        <w:tc>
          <w:tcPr>
            <w:tcW w:w="1247" w:type="dxa"/>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ЖОО</w:t>
            </w:r>
          </w:p>
          <w:bookmarkEnd w:id="97"/>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r>
      <w:tr>
        <w:trPr>
          <w:trHeight w:val="30" w:hRule="atLeast"/>
        </w:trPr>
        <w:tc>
          <w:tcPr>
            <w:tcW w:w="1247" w:type="dxa"/>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ВАК</w:t>
            </w:r>
          </w:p>
          <w:bookmarkEnd w:id="98"/>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комиссия</w:t>
            </w:r>
          </w:p>
        </w:tc>
      </w:tr>
      <w:tr>
        <w:trPr>
          <w:trHeight w:val="30" w:hRule="atLeast"/>
        </w:trPr>
        <w:tc>
          <w:tcPr>
            <w:tcW w:w="1247" w:type="dxa"/>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ТжКБ</w:t>
            </w:r>
          </w:p>
          <w:bookmarkEnd w:id="99"/>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1247" w:type="dxa"/>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PhD</w:t>
            </w:r>
          </w:p>
          <w:bookmarkEnd w:id="100"/>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of Philosophy (ғылым докторы)</w:t>
            </w:r>
          </w:p>
        </w:tc>
      </w:tr>
      <w:tr>
        <w:trPr>
          <w:trHeight w:val="30" w:hRule="atLeast"/>
        </w:trPr>
        <w:tc>
          <w:tcPr>
            <w:tcW w:w="1247" w:type="dxa"/>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GхP</w:t>
            </w:r>
          </w:p>
          <w:bookmarkEnd w:id="101"/>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х Practice (тиісті х практика)</w:t>
            </w:r>
          </w:p>
        </w:tc>
      </w:tr>
      <w:tr>
        <w:trPr>
          <w:trHeight w:val="30" w:hRule="atLeast"/>
        </w:trPr>
        <w:tc>
          <w:tcPr>
            <w:tcW w:w="1247" w:type="dxa"/>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GLP</w:t>
            </w:r>
          </w:p>
          <w:bookmarkEnd w:id="102"/>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Laboratory Practice (тиісті зертханалық практика)</w:t>
            </w:r>
          </w:p>
        </w:tc>
      </w:tr>
      <w:tr>
        <w:trPr>
          <w:trHeight w:val="30" w:hRule="atLeast"/>
        </w:trPr>
        <w:tc>
          <w:tcPr>
            <w:tcW w:w="1247" w:type="dxa"/>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GCP</w:t>
            </w:r>
          </w:p>
          <w:bookmarkEnd w:id="103"/>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Clinical Practice (тиісті клиникалық практика)</w:t>
            </w:r>
          </w:p>
        </w:tc>
      </w:tr>
      <w:tr>
        <w:trPr>
          <w:trHeight w:val="30" w:hRule="atLeast"/>
        </w:trPr>
        <w:tc>
          <w:tcPr>
            <w:tcW w:w="1247" w:type="dxa"/>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GMP</w:t>
            </w:r>
          </w:p>
          <w:bookmarkEnd w:id="104"/>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Manufacturing Practice (тиісті өндірістік практика)</w:t>
            </w:r>
          </w:p>
        </w:tc>
      </w:tr>
      <w:tr>
        <w:trPr>
          <w:trHeight w:val="30" w:hRule="atLeast"/>
        </w:trPr>
        <w:tc>
          <w:tcPr>
            <w:tcW w:w="1247" w:type="dxa"/>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GDP</w:t>
            </w:r>
          </w:p>
          <w:bookmarkEnd w:id="105"/>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Distribution Practice (тиісті дистрибьюторлық практика)</w:t>
            </w:r>
          </w:p>
        </w:tc>
      </w:tr>
      <w:tr>
        <w:trPr>
          <w:trHeight w:val="30" w:hRule="atLeast"/>
        </w:trPr>
        <w:tc>
          <w:tcPr>
            <w:tcW w:w="1247" w:type="dxa"/>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GPP</w:t>
            </w:r>
          </w:p>
          <w:bookmarkEnd w:id="106"/>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Pharmacy Practice (тиісті дәріханалық практика)</w:t>
            </w:r>
          </w:p>
        </w:tc>
      </w:tr>
      <w:tr>
        <w:trPr>
          <w:trHeight w:val="30" w:hRule="atLeast"/>
        </w:trPr>
        <w:tc>
          <w:tcPr>
            <w:tcW w:w="1247" w:type="dxa"/>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GVP</w:t>
            </w:r>
          </w:p>
          <w:bookmarkEnd w:id="107"/>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Pharmacovigilance Practice (тиісті фармакологиялық қадағалау практикасы)</w:t>
            </w:r>
          </w:p>
        </w:tc>
      </w:tr>
      <w:tr>
        <w:trPr>
          <w:trHeight w:val="30" w:hRule="atLeast"/>
        </w:trPr>
        <w:tc>
          <w:tcPr>
            <w:tcW w:w="1247" w:type="dxa"/>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РIC/S</w:t>
            </w:r>
          </w:p>
          <w:bookmarkEnd w:id="108"/>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Inspection Cooperation Scheme (халықаралық фармацевтикалық инспекциялар ынтымақтастығының жүйесі)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