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2ba8" w14:textId="7792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ұйымдастырудың бас схемасын әзірлеу және келісу қағидасын бекіту туралы" Қазақстан Республикасы Үкіметінің 2011 жылғы 4 наурыздағы № 222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5 қарашадағы № 666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 ұйымдастырудың бас схемасын әзірлеу және келісу қағидасын бекіту туралы» Қазақстан Республикасы Үкіметінің 2011 жылғы 4 наурыздағы № 222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 ұйымдастырудың бас схемасын әзірлеу және келісу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Бас схеманың кешенді әзірленуін Қазақстан Республикасының мүдделі мемлекеттік органдарының қатысуымен уәкілетті орган қамтамасыз етеді. Бас схема Қазақстанның 2050 жылға дейінгі Даму стратегиясының, сәулет, қала құрылысы және құрылыс қызметі, экология, стратегиялық жоспарлау саласындағы заңнаманың негізінде, сондай-ақ интеграциялық үдерістерді, шектес мемлекеттердің аумақтық және әлеуметтік-экономикалық даму бағдарламалары мен әлемдік үрдістерді есепке ала отырып әзірленеді.»;</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табиғатты ұтымды пайдаланудың және шаруашылық қызметтің, республикалық маңызы бар көліктік, инженерлік, әлеуметтік және рекреациялық инфрақұрылымды дамытудың негізгі ережелерін;»;</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әлеуметтік, рекреациялық, инженерлік және көліктік инфрақұрылымның схемалары мен даму жобалары;»;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