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7bb56" w14:textId="7b7bb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Ауыл шаруашылығы министрлігінің кейбір мәселелері" туралы 2005 жылғы 6 сәуірдегі № 310 және "Астық қолхаттарын бере отырып, қойма қызметі бойынша қызметтер көрсету жөніндегі қызметті лицензиялауды жүзеге асыру бойынша лицензиарды айқындау туралы" 2015 жылғы 28 қазандағы № 852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2016 жылғы 2 қарашадағы № 652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14, 168-құжат):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«53) астық қолхаттарын шығару арқылы қойма қызметі бойынша қызметтер көрсету жөніндегі қызметке қойылатын біліктілік талаптарын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«59) астық қолхаттарын ұстаушылардың мемлекеттік электрондық тізілімін қалыптастыру және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мынадай мазмұндағы 59-1) тармақшамен толықтырылсын:</w:t>
      </w:r>
      <w:r>
        <w:br/>
      </w:r>
      <w:r>
        <w:rPr>
          <w:rFonts w:ascii="Times New Roman"/>
          <w:b w:val="false"/>
          <w:i w:val="false"/>
          <w:color w:val="000000"/>
          <w:sz w:val="28"/>
        </w:rPr>
        <w:t>
</w:t>
      </w:r>
      <w:r>
        <w:rPr>
          <w:rFonts w:ascii="Times New Roman"/>
          <w:b w:val="false"/>
          <w:i w:val="false"/>
          <w:color w:val="000000"/>
          <w:sz w:val="28"/>
        </w:rPr>
        <w:t>
      «59-1) астық қолхаттарын ұстаушылардың мемлекеттік электрондық тізіліміне деректер берудің нысандарын, көлемін және кезеңділігін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72)</w:t>
      </w:r>
      <w:r>
        <w:rPr>
          <w:rFonts w:ascii="Times New Roman"/>
          <w:b w:val="false"/>
          <w:i w:val="false"/>
          <w:color w:val="000000"/>
          <w:sz w:val="28"/>
        </w:rPr>
        <w:t>, </w:t>
      </w:r>
      <w:r>
        <w:rPr>
          <w:rFonts w:ascii="Times New Roman"/>
          <w:b w:val="false"/>
          <w:i w:val="false"/>
          <w:color w:val="000000"/>
          <w:sz w:val="28"/>
        </w:rPr>
        <w:t>75)</w:t>
      </w:r>
      <w:r>
        <w:rPr>
          <w:rFonts w:ascii="Times New Roman"/>
          <w:b w:val="false"/>
          <w:i w:val="false"/>
          <w:color w:val="000000"/>
          <w:sz w:val="28"/>
        </w:rPr>
        <w:t>,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123)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223-1) және 223-2)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«223-1) су тұтынудың және су бұрудың үлестік нормаларын әзірлеу жөніндегі әдістемені әзірлейді және бекітеді;</w:t>
      </w:r>
      <w:r>
        <w:br/>
      </w:r>
      <w:r>
        <w:rPr>
          <w:rFonts w:ascii="Times New Roman"/>
          <w:b w:val="false"/>
          <w:i w:val="false"/>
          <w:color w:val="000000"/>
          <w:sz w:val="28"/>
        </w:rPr>
        <w:t>
</w:t>
      </w:r>
      <w:r>
        <w:rPr>
          <w:rFonts w:ascii="Times New Roman"/>
          <w:b w:val="false"/>
          <w:i w:val="false"/>
          <w:color w:val="000000"/>
          <w:sz w:val="28"/>
        </w:rPr>
        <w:t>
      223-2) экономиканың жекелеген салалары үшін су тұтынудың және су бұрудың ірілендірілген нормаларын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мынадай мазмұндағы 224-1) және 224-2)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«224-1) қоршаған ортаны қорғау саласындағы уәкілетті органмен бірлесіп, жерүсті су объектілері жай-күйінің нысаналы көрсеткіштері мен оларға қол жеткізу жөніндегі іс-шараларды әзірлеу әдістемесін әзірлейді және бекітеді;</w:t>
      </w:r>
      <w:r>
        <w:br/>
      </w:r>
      <w:r>
        <w:rPr>
          <w:rFonts w:ascii="Times New Roman"/>
          <w:b w:val="false"/>
          <w:i w:val="false"/>
          <w:color w:val="000000"/>
          <w:sz w:val="28"/>
        </w:rPr>
        <w:t>
</w:t>
      </w:r>
      <w:r>
        <w:rPr>
          <w:rFonts w:ascii="Times New Roman"/>
          <w:b w:val="false"/>
          <w:i w:val="false"/>
          <w:color w:val="000000"/>
          <w:sz w:val="28"/>
        </w:rPr>
        <w:t>
      224-2) бюджеттік жоспарлау жөніндегі орталық уәкілетті органмен келісім бойынша суармалы жерлердің мелиорациялық жай-күйінің мониторингін және оны бағалауды жүргізу үшін техникамен және жабдықпен материалдық-техникалық жарақтандырудың заттай нормаларын, пайдалану шығындары үшін материалдардың жұмсалу нормаларын, химиялық реактивтер мен зертхана ыдыстарының, далалық жарақтардың және арнайы киімдердің тиесілілік нормаларын, гидрогеологиямелиоративтік қызмет жұмыскерлерінің уақыт пен жұмыс жүктемесі нормаларын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мынадай мазмұндағы 358-1) және 358-2)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«358-1) бөгеттерді декларацияланатын бөгеттерге жатқызу өлшемдерін айқындайтын қағидаларды және бөгеттің қауіпсіздігі декларациясын әзірлеу қағидаларын бекітеді;</w:t>
      </w:r>
      <w:r>
        <w:br/>
      </w:r>
      <w:r>
        <w:rPr>
          <w:rFonts w:ascii="Times New Roman"/>
          <w:b w:val="false"/>
          <w:i w:val="false"/>
          <w:color w:val="000000"/>
          <w:sz w:val="28"/>
        </w:rPr>
        <w:t>
</w:t>
      </w:r>
      <w:r>
        <w:rPr>
          <w:rFonts w:ascii="Times New Roman"/>
          <w:b w:val="false"/>
          <w:i w:val="false"/>
          <w:color w:val="000000"/>
          <w:sz w:val="28"/>
        </w:rPr>
        <w:t>
      358-2) Қазақстан Республикасында суармалы жерлердің мелиорациялық жай-күйінің мониторингін және оны бағалауды және ауыл шаруашылығы мақсатындағы жерлердің мелиорациялық жай-күйі туралы ақпараттық деректер банкін мемлекеттік жүргізу қағидалары мен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220)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392-1), 392-2), 392-3), 392-4) және 392-5)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«392-1) өсімдіктер карантині жөніндегі іс-шараларды жүзеге асырудың тәртібін, тәсілдерін регламенттейтін әдістерді, әдістемелерді, ұсынымдарды әзірлейді және бекітеді;</w:t>
      </w:r>
      <w:r>
        <w:br/>
      </w:r>
      <w:r>
        <w:rPr>
          <w:rFonts w:ascii="Times New Roman"/>
          <w:b w:val="false"/>
          <w:i w:val="false"/>
          <w:color w:val="000000"/>
          <w:sz w:val="28"/>
        </w:rPr>
        <w:t>
</w:t>
      </w:r>
      <w:r>
        <w:rPr>
          <w:rFonts w:ascii="Times New Roman"/>
          <w:b w:val="false"/>
          <w:i w:val="false"/>
          <w:color w:val="000000"/>
          <w:sz w:val="28"/>
        </w:rPr>
        <w:t>
      392-2) фитосанитариялық iс-шараларды жүзеге асыру жөніндегі ұсынымдар мен әдiстемелiк нұсқауларды әзірлейді және бекітеді;</w:t>
      </w:r>
      <w:r>
        <w:br/>
      </w:r>
      <w:r>
        <w:rPr>
          <w:rFonts w:ascii="Times New Roman"/>
          <w:b w:val="false"/>
          <w:i w:val="false"/>
          <w:color w:val="000000"/>
          <w:sz w:val="28"/>
        </w:rPr>
        <w:t>
</w:t>
      </w:r>
      <w:r>
        <w:rPr>
          <w:rFonts w:ascii="Times New Roman"/>
          <w:b w:val="false"/>
          <w:i w:val="false"/>
          <w:color w:val="000000"/>
          <w:sz w:val="28"/>
        </w:rPr>
        <w:t>
      392-3) фитосанитариялық іс-шараларды жүзеге асырудың тәртібін, тәсілдерін регламенттейтін әдістерді, әдістемелерді, ұсынымдарды әзірлейді және бекітеді, өсімдіктерді қорғау саласында қолданбалы ғылыми зерттеулер жүргізуді ұйымдастырады, үйлестіреді және бақылайды, сондай-ақ өсімдіктерді қорғау жөніндегі мамандарды даярлау және олардың біліктілігін арттыру жөніндегі оқыту бағдарламаларын (оқу бағдарламаларын) келіседі;</w:t>
      </w:r>
      <w:r>
        <w:br/>
      </w:r>
      <w:r>
        <w:rPr>
          <w:rFonts w:ascii="Times New Roman"/>
          <w:b w:val="false"/>
          <w:i w:val="false"/>
          <w:color w:val="000000"/>
          <w:sz w:val="28"/>
        </w:rPr>
        <w:t>
</w:t>
      </w:r>
      <w:r>
        <w:rPr>
          <w:rFonts w:ascii="Times New Roman"/>
          <w:b w:val="false"/>
          <w:i w:val="false"/>
          <w:color w:val="000000"/>
          <w:sz w:val="28"/>
        </w:rPr>
        <w:t>
      392-4) тамақ қауіпсіздігін қамтамасыз ету жөніндегі мемлекеттік мониторинг жоспарын әзірлейді және бекітеді;</w:t>
      </w:r>
      <w:r>
        <w:br/>
      </w:r>
      <w:r>
        <w:rPr>
          <w:rFonts w:ascii="Times New Roman"/>
          <w:b w:val="false"/>
          <w:i w:val="false"/>
          <w:color w:val="000000"/>
          <w:sz w:val="28"/>
        </w:rPr>
        <w:t>
</w:t>
      </w:r>
      <w:r>
        <w:rPr>
          <w:rFonts w:ascii="Times New Roman"/>
          <w:b w:val="false"/>
          <w:i w:val="false"/>
          <w:color w:val="000000"/>
          <w:sz w:val="28"/>
        </w:rPr>
        <w:t>
      392-5) жануарлардың аса қауіпті ауруларының профилактикасы, диагностикасы және оларды жою жөніндегі ветеринариялық іс-шараларды әзірлейді және бекітеді;»;</w:t>
      </w:r>
      <w:r>
        <w:br/>
      </w:r>
      <w:r>
        <w:rPr>
          <w:rFonts w:ascii="Times New Roman"/>
          <w:b w:val="false"/>
          <w:i w:val="false"/>
          <w:color w:val="000000"/>
          <w:sz w:val="28"/>
        </w:rPr>
        <w:t>
</w:t>
      </w:r>
      <w:r>
        <w:rPr>
          <w:rFonts w:ascii="Times New Roman"/>
          <w:b w:val="false"/>
          <w:i w:val="false"/>
          <w:color w:val="000000"/>
          <w:sz w:val="28"/>
        </w:rPr>
        <w:t>
      мынадай мазмұндағы 412-1), 412-2) және 412-3)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«412-1) су объектілеріндегі су сапасын жіктеудің бірыңғай жүйесін әзірлейді және бекітеді;</w:t>
      </w:r>
      <w:r>
        <w:br/>
      </w:r>
      <w:r>
        <w:rPr>
          <w:rFonts w:ascii="Times New Roman"/>
          <w:b w:val="false"/>
          <w:i w:val="false"/>
          <w:color w:val="000000"/>
          <w:sz w:val="28"/>
        </w:rPr>
        <w:t>
</w:t>
      </w:r>
      <w:r>
        <w:rPr>
          <w:rFonts w:ascii="Times New Roman"/>
          <w:b w:val="false"/>
          <w:i w:val="false"/>
          <w:color w:val="000000"/>
          <w:sz w:val="28"/>
        </w:rPr>
        <w:t>
      412-2) қоршаған ортаны қорғау саласындағы уәкілетті органмен келісім бойынша жерүсті су объектілері үшін су сапасының стандарттарын әзірлейді және бекітеді;</w:t>
      </w:r>
      <w:r>
        <w:br/>
      </w:r>
      <w:r>
        <w:rPr>
          <w:rFonts w:ascii="Times New Roman"/>
          <w:b w:val="false"/>
          <w:i w:val="false"/>
          <w:color w:val="000000"/>
          <w:sz w:val="28"/>
        </w:rPr>
        <w:t>
</w:t>
      </w:r>
      <w:r>
        <w:rPr>
          <w:rFonts w:ascii="Times New Roman"/>
          <w:b w:val="false"/>
          <w:i w:val="false"/>
          <w:color w:val="000000"/>
          <w:sz w:val="28"/>
        </w:rPr>
        <w:t>
      412-3) тіркеу шифрларын беру үшін бөгеттердің қауіпсіздігі декларациясын тіркейді;»;</w:t>
      </w:r>
      <w:r>
        <w:br/>
      </w:r>
      <w:r>
        <w:rPr>
          <w:rFonts w:ascii="Times New Roman"/>
          <w:b w:val="false"/>
          <w:i w:val="false"/>
          <w:color w:val="000000"/>
          <w:sz w:val="28"/>
        </w:rPr>
        <w:t>
</w:t>
      </w:r>
      <w:r>
        <w:rPr>
          <w:rFonts w:ascii="Times New Roman"/>
          <w:b w:val="false"/>
          <w:i w:val="false"/>
          <w:color w:val="000000"/>
          <w:sz w:val="28"/>
        </w:rPr>
        <w:t>
      2) «Астық қолхаттарын бере отырып, қойма қызметі бойынша қызметтер көрсету жөніндегі қызметті лицензиялауды жүзеге асыру бойынша лицензиарды айқындау туралы» Қазақстан Республикасы Үкіметінің 2015 жылғы 28 қазандағы № 852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55-56, 440-құжат):</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«Астық қолхаттарын шығару арқылы қойма қызметі бойынша қызметтер көрсету жөніндегі қызметті лицензиялауды жүзеге асыратын лицензиарды айқындау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Облыстардың жергілікті атқарушы органдары астық қолхаттарын шығару арқылы қойма қызметі бойынша қызметтер көрсету жөніндегі қызметті лицензиялауды жүзеге асыратын лицензиар болып айқындалсын.».</w:t>
      </w:r>
      <w:r>
        <w:br/>
      </w:r>
      <w:r>
        <w:rPr>
          <w:rFonts w:ascii="Times New Roman"/>
          <w:b w:val="false"/>
          <w:i w:val="false"/>
          <w:color w:val="000000"/>
          <w:sz w:val="28"/>
        </w:rPr>
        <w:t>
</w:t>
      </w:r>
      <w:r>
        <w:rPr>
          <w:rFonts w:ascii="Times New Roman"/>
          <w:b w:val="false"/>
          <w:i w:val="false"/>
          <w:color w:val="000000"/>
          <w:sz w:val="28"/>
        </w:rPr>
        <w:t>
      2. Осы қаулы 2020 жылғы 1 қаңтардан бастап қолданысқа енгізілетін 1-тармақтың </w:t>
      </w:r>
      <w:r>
        <w:rPr>
          <w:rFonts w:ascii="Times New Roman"/>
          <w:b w:val="false"/>
          <w:i w:val="false"/>
          <w:color w:val="000000"/>
          <w:sz w:val="28"/>
        </w:rPr>
        <w:t>1) тармақшасының</w:t>
      </w:r>
      <w:r>
        <w:rPr>
          <w:rFonts w:ascii="Times New Roman"/>
          <w:b w:val="false"/>
          <w:i w:val="false"/>
          <w:color w:val="000000"/>
          <w:sz w:val="28"/>
        </w:rPr>
        <w:t xml:space="preserve"> бесінші және сегізінші абзацтарын қоспағанда,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