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f7e4" w14:textId="129f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келісімге Қырғыз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11 тамыздағы № 454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келісімге Қырғыз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11 тамыздағы </w:t>
      </w:r>
      <w:r>
        <w:br/>
      </w:r>
      <w:r>
        <w:rPr>
          <w:rFonts w:ascii="Times New Roman"/>
          <w:b w:val="false"/>
          <w:i w:val="false"/>
          <w:color w:val="000000"/>
          <w:sz w:val="28"/>
        </w:rPr>
        <w:t xml:space="preserve">
№ 454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4" w:id="2"/>
    <w:p>
      <w:pPr>
        <w:spacing w:after="0"/>
        <w:ind w:left="0"/>
        <w:jc w:val="left"/>
      </w:pPr>
      <w:r>
        <w:rPr>
          <w:rFonts w:ascii="Times New Roman"/>
          <w:b/>
          <w:i w:val="false"/>
          <w:color w:val="000000"/>
        </w:rPr>
        <w:t xml:space="preserve"> 
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келісімге Қырғыз Республикасының  қосылуы туралы</w:t>
      </w:r>
      <w:r>
        <w:br/>
      </w:r>
      <w:r>
        <w:rPr>
          <w:rFonts w:ascii="Times New Roman"/>
          <w:b/>
          <w:i w:val="false"/>
          <w:color w:val="000000"/>
        </w:rPr>
        <w:t>
ХАТТАМА</w:t>
      </w:r>
    </w:p>
    <w:bookmarkEnd w:id="2"/>
    <w:bookmarkStart w:name="z5" w:id="3"/>
    <w:p>
      <w:pPr>
        <w:spacing w:after="0"/>
        <w:ind w:left="0"/>
        <w:jc w:val="both"/>
      </w:pPr>
      <w:r>
        <w:rPr>
          <w:rFonts w:ascii="Times New Roman"/>
          <w:b w:val="false"/>
          <w:i w:val="false"/>
          <w:color w:val="000000"/>
          <w:sz w:val="28"/>
        </w:rPr>
        <w:t>
      Еуразиялық экономикалық одаққа мүше мемлекеттердің үкiметтерi</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шарттың 2-бабын басшылыққа ала отырып,</w:t>
      </w:r>
      <w:r>
        <w:br/>
      </w:r>
      <w:r>
        <w:rPr>
          <w:rFonts w:ascii="Times New Roman"/>
          <w:b w:val="false"/>
          <w:i w:val="false"/>
          <w:color w:val="000000"/>
          <w:sz w:val="28"/>
        </w:rPr>
        <w:t>
      төмендегілер туралы келiстi:</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Осы Хаттамамен Қырғыз Республикасы 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келісімге қосылады.</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Осы Хаттама оның күшiне енуі үшiн қажетті мемлекетiшiлiк рәсiмдердi Еуразиялық экономикалық одаққа мүше мемлекеттердiң орындағаны туралы соңғы жазбаша хабарламаны депозитарий дипломатиялық арналар арқылы алған күннен бастап күшiне енедi, бірақ 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келісімнің күшiне енген күнінен ерте емес.</w:t>
      </w:r>
    </w:p>
    <w:bookmarkEnd w:id="7"/>
    <w:p>
      <w:pPr>
        <w:spacing w:after="0"/>
        <w:ind w:left="0"/>
        <w:jc w:val="both"/>
      </w:pPr>
      <w:r>
        <w:rPr>
          <w:rFonts w:ascii="Times New Roman"/>
          <w:b w:val="false"/>
          <w:i w:val="false"/>
          <w:color w:val="000000"/>
          <w:sz w:val="28"/>
        </w:rPr>
        <w:t>      2016 жылғы «___»________ ____________ қаласында орыс тiлiнде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депозитарийi бола отырып, оның куәландырылған көшiрмесiн Еуразиялық экономикалық одаққа мүше әрбір мемлекетке жібереді.</w:t>
      </w:r>
    </w:p>
    <w:tbl>
      <w:tblPr>
        <w:tblW w:w="0" w:type="auto"/>
        <w:tblCellSpacing w:w="0" w:type="auto"/>
        <w:tblBorders>
          <w:top w:val="none"/>
          <w:left w:val="none"/>
          <w:bottom w:val="none"/>
          <w:right w:val="none"/>
          <w:insideH w:val="none"/>
          <w:insideV w:val="none"/>
        </w:tblBorders>
      </w:tblPr>
      <w:tblGrid>
        <w:gridCol w:w="2822"/>
        <w:gridCol w:w="2822"/>
        <w:gridCol w:w="2822"/>
        <w:gridCol w:w="2822"/>
        <w:gridCol w:w="2712"/>
      </w:tblGrid>
      <w:tr>
        <w:trPr>
          <w:trHeight w:val="30" w:hRule="atLeast"/>
        </w:trPr>
        <w:tc>
          <w:tcPr>
            <w:tcW w:w="28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 Үкіметі үшін</w:t>
            </w:r>
          </w:p>
        </w:tc>
        <w:tc>
          <w:tcPr>
            <w:tcW w:w="28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 Үкіметі үшін</w:t>
            </w:r>
          </w:p>
        </w:tc>
        <w:tc>
          <w:tcPr>
            <w:tcW w:w="28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Үкіметі үшін</w:t>
            </w:r>
          </w:p>
        </w:tc>
        <w:tc>
          <w:tcPr>
            <w:tcW w:w="28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 Үкіметі үшін</w:t>
            </w:r>
          </w:p>
        </w:tc>
        <w:tc>
          <w:tcPr>
            <w:tcW w:w="271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