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ee5e" w14:textId="c41e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төлемақыны есептеу және төлеу қағидаларын, сондай-ақ мөлшерлемелерін бекіту туралы" Қазақстан Республикасы Үкіметінің 2013 жылғы 4 қазандағы № 1055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22 шілдедегі № 419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төлемақыны есептеу және төлеу қағидаларын, сондай-ақ мөлшерлемелерін бекіту туралы» Қазақстан Республикасы Үкіметінің 2013 жылғы 4 қазандағы № 1055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58, 797-құжат)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төлемақыны есептеу және төлеу қағидаларын, сондай-ақ оның мөлшерлемелерін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төлемақыны есептеу және төлеу қағидалары;</w:t>
      </w:r>
      <w:r>
        <w:br/>
      </w:r>
      <w:r>
        <w:rPr>
          <w:rFonts w:ascii="Times New Roman"/>
          <w:b w:val="false"/>
          <w:i w:val="false"/>
          <w:color w:val="000000"/>
          <w:sz w:val="28"/>
        </w:rPr>
        <w:t>
</w:t>
      </w:r>
      <w:r>
        <w:rPr>
          <w:rFonts w:ascii="Times New Roman"/>
          <w:b w:val="false"/>
          <w:i w:val="false"/>
          <w:color w:val="000000"/>
          <w:sz w:val="28"/>
        </w:rPr>
        <w:t>
      2)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 мөлшерлемелері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төлемақыны есептеу және төлеу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төлемақыны есептеу және төлеу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төлемақыны есептеу және төлеу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«Жарнама туралы» 2003 жылғы 19 желтоқсандағы Қазақстан Республикасының Заңы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Қағидалар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төлемақыны есептеу және төлеу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4-тармақшасы «4) ауданның жергілікті атқарушы органы беретін рұқсат негізінде сыртқы (көрнекі) жарнаманы аудандық маңызы бар қаладағы, ауылдағы, кенттегі үй-жайлардың шегінен тыс ашық кеңістікте орналастырған кезде жүргізіледі.» деген редакцияда жазылып, 5)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Төлемақы сомасы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ауылдық округтердегі үй-жайлардың шегінен тыс ашық кеңістікте орналастырылатын сыртқы (көрнекі) жарнаманы орналастыру жері бойынша жергілікті өзін-өзі басқарудың қолма-қол ақшаны бақылау шотына төленеді.»;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w:t>
      </w:r>
      <w:r>
        <w:rPr>
          <w:rFonts w:ascii="Times New Roman"/>
          <w:b w:val="false"/>
          <w:i w:val="false"/>
          <w:color w:val="000000"/>
          <w:sz w:val="28"/>
        </w:rPr>
        <w:t>мөлшерлемелерінде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орналастырғаны үшін төлемақы мөлшерлемелері»;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