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5fa9" w14:textId="c8f5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2015 жылғы 11 наурыздағы № 124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сәуірдегі № 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туралы» Қазақстан Республикасы Үкіметінің 2015 жылғы 11 наурыздағы № 124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13, 71-құжат)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ережелер»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«Қаражатты екінші деңгейдегі банктерге шартты түрде орналастырудың шарттары мен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бөлігінің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«Даму» КДҚ» АҚ және ЕДБ арасында жасалған кредиттік келісім шеңберінде: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өнеркәсібінде ШОКС-қа берілген қарыздарды қайта қаржыландыруға ЕДБ бағыттайтын қарыздардың үлесі Мемлекеттік комиссия мақұлдаған ЕДБ лимитінің 25 %-ынан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өнеркәсібінде ШОКС-тың айналым қаражатын толықтыру мақсаттары үшін ЕДБ бағыттайтын қарыздардың үлесі Мемлекеттік комиссия мақұлдаған ЕДБ лимитінің 25 %-ынан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өңдеу өнеркәсібінде ШОКС-тың жаңа жобаларын қаржыландыруға ЕДБ бағыттайтын қарыздардың үлесі Мемлекеттік комиссия мақұлдаған ЕДБ лимитінің кемінде 50 %-ын құрайды.».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