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8aaa" w14:textId="d268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бекіту туралы</w:t>
      </w:r>
    </w:p>
    <w:p>
      <w:pPr>
        <w:spacing w:after="0"/>
        <w:ind w:left="0"/>
        <w:jc w:val="both"/>
      </w:pPr>
      <w:r>
        <w:rPr>
          <w:rFonts w:ascii="Times New Roman"/>
          <w:b w:val="false"/>
          <w:i w:val="false"/>
          <w:color w:val="000000"/>
          <w:sz w:val="28"/>
        </w:rPr>
        <w:t>Қазақстан Республикасы Үкіметінің 2016 жылғы 14 наурыздағы № 137 қаулысы.</w:t>
      </w:r>
    </w:p>
    <w:p>
      <w:pPr>
        <w:spacing w:after="0"/>
        <w:ind w:left="0"/>
        <w:jc w:val="both"/>
      </w:pPr>
      <w:bookmarkStart w:name="z1" w:id="0"/>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құқық қорғау, арнаулы мемлекеттік және өзге де органдардың ақпарат алмасу жүйесімен интеграцияланатын интернет-ресурстар мен ақпараттық жүйелердің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наурыздағы</w:t>
            </w:r>
            <w:r>
              <w:br/>
            </w:r>
            <w:r>
              <w:rPr>
                <w:rFonts w:ascii="Times New Roman"/>
                <w:b w:val="false"/>
                <w:i w:val="false"/>
                <w:color w:val="000000"/>
                <w:sz w:val="20"/>
              </w:rPr>
              <w:t>№ 137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w:t>
      </w:r>
    </w:p>
    <w:bookmarkEnd w:id="3"/>
    <w:p>
      <w:pPr>
        <w:spacing w:after="0"/>
        <w:ind w:left="0"/>
        <w:jc w:val="both"/>
      </w:pPr>
      <w:r>
        <w:rPr>
          <w:rFonts w:ascii="Times New Roman"/>
          <w:b w:val="false"/>
          <w:i w:val="false"/>
          <w:color w:val="ff0000"/>
          <w:sz w:val="28"/>
        </w:rPr>
        <w:t xml:space="preserve">
      Ескерту. Тізбеге өзгерістер енгізілді - ҚР Үкіметінің 16.06.2016 </w:t>
      </w:r>
      <w:r>
        <w:rPr>
          <w:rFonts w:ascii="Times New Roman"/>
          <w:b w:val="false"/>
          <w:i w:val="false"/>
          <w:color w:val="ff0000"/>
          <w:sz w:val="28"/>
        </w:rPr>
        <w:t>№ 353</w:t>
      </w:r>
      <w:r>
        <w:rPr>
          <w:rFonts w:ascii="Times New Roman"/>
          <w:b w:val="false"/>
          <w:i w:val="false"/>
          <w:color w:val="ff0000"/>
          <w:sz w:val="28"/>
        </w:rPr>
        <w:t xml:space="preserve">; 27.10.2016 </w:t>
      </w:r>
      <w:r>
        <w:rPr>
          <w:rFonts w:ascii="Times New Roman"/>
          <w:b w:val="false"/>
          <w:i w:val="false"/>
          <w:color w:val="ff0000"/>
          <w:sz w:val="28"/>
        </w:rPr>
        <w:t>№ 628</w:t>
      </w:r>
      <w:r>
        <w:rPr>
          <w:rFonts w:ascii="Times New Roman"/>
          <w:b w:val="false"/>
          <w:i w:val="false"/>
          <w:color w:val="ff0000"/>
          <w:sz w:val="28"/>
        </w:rPr>
        <w:t xml:space="preserve">; 26.03.2019 </w:t>
      </w:r>
      <w:r>
        <w:rPr>
          <w:rFonts w:ascii="Times New Roman"/>
          <w:b w:val="false"/>
          <w:i w:val="false"/>
          <w:color w:val="ff0000"/>
          <w:sz w:val="28"/>
        </w:rPr>
        <w:t>№ 142</w:t>
      </w:r>
      <w:r>
        <w:rPr>
          <w:rFonts w:ascii="Times New Roman"/>
          <w:b w:val="false"/>
          <w:i w:val="false"/>
          <w:color w:val="ff0000"/>
          <w:sz w:val="28"/>
        </w:rPr>
        <w:t xml:space="preserve">; 10.07.2019 </w:t>
      </w:r>
      <w:r>
        <w:rPr>
          <w:rFonts w:ascii="Times New Roman"/>
          <w:b w:val="false"/>
          <w:i w:val="false"/>
          <w:color w:val="ff0000"/>
          <w:sz w:val="28"/>
        </w:rPr>
        <w:t>№ 497</w:t>
      </w:r>
      <w:r>
        <w:rPr>
          <w:rFonts w:ascii="Times New Roman"/>
          <w:b w:val="false"/>
          <w:i w:val="false"/>
          <w:color w:val="ff0000"/>
          <w:sz w:val="28"/>
        </w:rPr>
        <w:t xml:space="preserve">; 12.07.2019 </w:t>
      </w:r>
      <w:r>
        <w:rPr>
          <w:rFonts w:ascii="Times New Roman"/>
          <w:b w:val="false"/>
          <w:i w:val="false"/>
          <w:color w:val="ff0000"/>
          <w:sz w:val="28"/>
        </w:rPr>
        <w:t>№ 501</w:t>
      </w:r>
      <w:r>
        <w:rPr>
          <w:rFonts w:ascii="Times New Roman"/>
          <w:b w:val="false"/>
          <w:i w:val="false"/>
          <w:color w:val="ff0000"/>
          <w:sz w:val="28"/>
        </w:rPr>
        <w:t xml:space="preserve">; 13.12.2019 </w:t>
      </w:r>
      <w:r>
        <w:rPr>
          <w:rFonts w:ascii="Times New Roman"/>
          <w:b w:val="false"/>
          <w:i w:val="false"/>
          <w:color w:val="ff0000"/>
          <w:sz w:val="28"/>
        </w:rPr>
        <w:t>№ 925</w:t>
      </w:r>
      <w:r>
        <w:rPr>
          <w:rFonts w:ascii="Times New Roman"/>
          <w:b w:val="false"/>
          <w:i w:val="false"/>
          <w:color w:val="ff0000"/>
          <w:sz w:val="28"/>
        </w:rPr>
        <w:t xml:space="preserve">; 19.08.2022 </w:t>
      </w:r>
      <w:r>
        <w:rPr>
          <w:rFonts w:ascii="Times New Roman"/>
          <w:b w:val="false"/>
          <w:i w:val="false"/>
          <w:color w:val="ff0000"/>
          <w:sz w:val="28"/>
        </w:rPr>
        <w:t>№ 581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мен интернет-ресурс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мен интернет-ресурс иесі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бойынша сот істері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қылмыскерлерді іздеуді жүзеге асыру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жөнiндегi комитетi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туралы, іздеу карточкалары (шамамен жас мөлшері, жынысы, ұлты), танылмаған мәйіттер, белгісіз науқастар және балалар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талап-сұраныс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w:t>
            </w:r>
          </w:p>
          <w:p>
            <w:pPr>
              <w:spacing w:after="20"/>
              <w:ind w:left="20"/>
              <w:jc w:val="both"/>
            </w:pPr>
            <w:r>
              <w:rPr>
                <w:rFonts w:ascii="Times New Roman"/>
                <w:b w:val="false"/>
                <w:i w:val="false"/>
                <w:color w:val="000000"/>
                <w:sz w:val="20"/>
              </w:rPr>
              <w:t>
мемлекеттік қызметке керуге үміткер адамдарға қатысты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тексеру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жоғалып кеткендерді іздеуді жүзеге асыру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әкімшілік құқық бұзушылықтары және олар жөніндегі хабарламалар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шетел азаматтарын шығарып жіберу жөніндегі сот шешімдерінің орындалуын мониторингтеу мен бақылау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жауапкерлер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бірыңғай статистикалық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жөнiндегi комитетi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арнаулы мемлекеттік және өзге де органдардың ақпарат алмасу жүйесіне қолжетімділік құқығын анықтау тұрғысынан қылмыстық істер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сотта қарау туралы (іс бойынша сот карточкасы)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алуға жауапсыз қатысушылар ретінде тану туралы шығарылған сот шешімдері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өтініштерін бірыңғай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тіркелген өтініштері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жөнiндегi комитетi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Мемлекеттік шекарадан өтуі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азаматтардың Мемлекеттік шекарадан өтуі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"Ықпалдастырылған деректер банкі"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 тіркелген көлік құралдары туралы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 тіркелген қару және оның иесі, сондай-ақ қару саудасымен айналысатын мамандандырылған дүкендерде сатуда тұрған қару туралы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 тіркелген қылмыстық автокөлік туралы*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 тіркелген қылмыстық қару туралы*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көлік құралын басқаруға құқық беретін жүргізуші куәлігін алған адамдар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жол қауіпсіздігін қамтамасыз ету саласындағы әкімшілік құқық бұзушылықтар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және оның жеке басын куәландыратын құжаттар, тіркелген мекенжайы және суреті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мен кәмелетке толмаған балалар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"Көші-қон полициясы"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келетін шетелдіктері тіркеу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жеке тұлғаларда еңбек қызметін жүзеге асыруға рұқсат беру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адамдарға Қазақстан Республикасында тұрақты тұруға рұқсат беру және тіркеу туралы*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 қабылдауын және одан шығуын тіркеу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шекаралық аймаққа келуге берiлген рұқсат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ауыртпалықтар салу/алып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қызметшілері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орталықтандырылған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мүгедектікті растау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министрлiгі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балаларға мемлекеттік жәрдемақылар, атаулы әлеуметтiк көмек және тұрғын үй көмегі"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министрлiгі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министрлiгі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науқастардың электрондық тіркелімі"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диспансерлік есепте тұруы туралы (адамның психиатрда немесе наркологта есепте тұру жағдайының фактісі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министрлiгі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(жеке немесе заңды тұлға), лицензия туралы (нөмірі,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сатылған және қайтарылған жол жүру құжаттары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байқаудың бірыңғай ақпараттық жүйесі ("Техбайқау" БАЖ")"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техникалық байқаудан өтуі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ықпалдастырылған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халыққа қызмет көрсету орталықтарында алған қызметтер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дерекқордың және тасымалдау қауіпсіздігінің серпінділігі мониторингінің ақпараттық-талдау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құралдары, олардың иелері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Көлік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 мен шағын кемелер, олардың иелері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және олардың сипаттамалары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Құрылыс, тұрғын үй-коммуналдық шаруашылық істері және жер ресурстарын басқару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"Монополистер қызметінің мониторингі бойынша электрондық дерекқор"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табиғи монополиялар субъектілері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басқарудың бірыңғай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және (немесе) жоғары оқу орнынан кейінгі білім беру ұйымының студенттері мен түлектері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министрлiгi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мiндеттiлер мен шақырылушыларды әскери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және әскерге шақырылушылар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"E-Аgriculture"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техника, оның иелері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түсімдер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бірыңғай сақтау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p>
            <w:pPr>
              <w:spacing w:after="20"/>
              <w:ind w:left="20"/>
              <w:jc w:val="both"/>
            </w:pPr>
            <w:r>
              <w:rPr>
                <w:rFonts w:ascii="Times New Roman"/>
                <w:b w:val="false"/>
                <w:i w:val="false"/>
                <w:color w:val="000000"/>
                <w:sz w:val="20"/>
              </w:rPr>
              <w:t>
төлеушілер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салық бойынша берешек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тексерістер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w:t>
            </w:r>
          </w:p>
          <w:p>
            <w:pPr>
              <w:spacing w:after="20"/>
              <w:ind w:left="20"/>
              <w:jc w:val="both"/>
            </w:pPr>
            <w:r>
              <w:rPr>
                <w:rFonts w:ascii="Times New Roman"/>
                <w:b w:val="false"/>
                <w:i w:val="false"/>
                <w:color w:val="000000"/>
                <w:sz w:val="20"/>
              </w:rPr>
              <w:t>
төлеушілер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өңдеу жүйесі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және/немесе</w:t>
            </w:r>
          </w:p>
          <w:p>
            <w:pPr>
              <w:spacing w:after="20"/>
              <w:ind w:left="20"/>
              <w:jc w:val="both"/>
            </w:pPr>
            <w:r>
              <w:rPr>
                <w:rFonts w:ascii="Times New Roman"/>
                <w:b w:val="false"/>
                <w:i w:val="false"/>
                <w:color w:val="000000"/>
                <w:sz w:val="20"/>
              </w:rPr>
              <w:t>
шарап материалын өндіру</w:t>
            </w:r>
          </w:p>
          <w:p>
            <w:pPr>
              <w:spacing w:after="20"/>
              <w:ind w:left="20"/>
              <w:jc w:val="both"/>
            </w:pPr>
            <w:r>
              <w:rPr>
                <w:rFonts w:ascii="Times New Roman"/>
                <w:b w:val="false"/>
                <w:i w:val="false"/>
                <w:color w:val="000000"/>
                <w:sz w:val="20"/>
              </w:rPr>
              <w:t>
және олардың айналымы</w:t>
            </w:r>
          </w:p>
          <w:p>
            <w:pPr>
              <w:spacing w:after="20"/>
              <w:ind w:left="20"/>
              <w:jc w:val="both"/>
            </w:pPr>
            <w:r>
              <w:rPr>
                <w:rFonts w:ascii="Times New Roman"/>
                <w:b w:val="false"/>
                <w:i w:val="false"/>
                <w:color w:val="000000"/>
                <w:sz w:val="20"/>
              </w:rPr>
              <w:t>
жөніндегі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және олардың айналымы</w:t>
            </w:r>
          </w:p>
          <w:p>
            <w:pPr>
              <w:spacing w:after="20"/>
              <w:ind w:left="20"/>
              <w:jc w:val="both"/>
            </w:pPr>
            <w:r>
              <w:rPr>
                <w:rFonts w:ascii="Times New Roman"/>
                <w:b w:val="false"/>
                <w:i w:val="false"/>
                <w:color w:val="000000"/>
                <w:sz w:val="20"/>
              </w:rPr>
              <w:t>
жөніндегі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жөніндегі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декларациялар туралы</w:t>
            </w:r>
          </w:p>
          <w:p>
            <w:pPr>
              <w:spacing w:after="20"/>
              <w:ind w:left="20"/>
              <w:jc w:val="both"/>
            </w:pPr>
            <w:r>
              <w:rPr>
                <w:rFonts w:ascii="Times New Roman"/>
                <w:b w:val="false"/>
                <w:i w:val="false"/>
                <w:color w:val="000000"/>
                <w:sz w:val="20"/>
              </w:rPr>
              <w:t>
(2-нұсқасы)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декларациялар туралы (3-нұсқасы)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мен</w:t>
            </w:r>
          </w:p>
          <w:p>
            <w:pPr>
              <w:spacing w:after="20"/>
              <w:ind w:left="20"/>
              <w:jc w:val="both"/>
            </w:pPr>
            <w:r>
              <w:rPr>
                <w:rFonts w:ascii="Times New Roman"/>
                <w:b w:val="false"/>
                <w:i w:val="false"/>
                <w:color w:val="000000"/>
                <w:sz w:val="20"/>
              </w:rPr>
              <w:t>
мүлік жөніндегі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автоматтандырылған ақпараттық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кедендік декларациялары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декларациялар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автоматтандырылған ақпараттық жүйе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 қойнауын пайдалануды басқарудың бірыңғай мемлекеттік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келісімшарттар туралы (көмірсутегі шикізаты және уран және көмір бөлігінде қатты пайдалы қазбалар)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p>
            <w:pPr>
              <w:spacing w:after="20"/>
              <w:ind w:left="20"/>
              <w:jc w:val="both"/>
            </w:pPr>
            <w:r>
              <w:rPr>
                <w:rFonts w:ascii="Times New Roman"/>
                <w:b w:val="false"/>
                <w:i w:val="false"/>
                <w:color w:val="000000"/>
                <w:sz w:val="20"/>
              </w:rPr>
              <w:t>
(мәліметтер үшін</w:t>
            </w:r>
          </w:p>
          <w:p>
            <w:pPr>
              <w:spacing w:after="20"/>
              <w:ind w:left="20"/>
              <w:jc w:val="both"/>
            </w:pPr>
            <w:r>
              <w:rPr>
                <w:rFonts w:ascii="Times New Roman"/>
                <w:b w:val="false"/>
                <w:i w:val="false"/>
                <w:color w:val="000000"/>
                <w:sz w:val="20"/>
              </w:rPr>
              <w:t>
Қазақстан Республикасы Энергетика министрлігі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келісімшарттар (уран мен көмірді қоспағанда, қатты пайдалы қазбалар және жерасты сулары)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(мәліметтер үшін Қазақстан Республикасы Инвестициялар және даму министрлігі жауапты)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w:t>
            </w:r>
          </w:p>
          <w:p>
            <w:pPr>
              <w:spacing w:after="20"/>
              <w:ind w:left="20"/>
              <w:jc w:val="both"/>
            </w:pPr>
            <w:r>
              <w:rPr>
                <w:rFonts w:ascii="Times New Roman"/>
                <w:b w:val="false"/>
                <w:i w:val="false"/>
                <w:color w:val="000000"/>
                <w:sz w:val="20"/>
              </w:rPr>
              <w:t xml:space="preserve">
жүргізу органдарының автоматтандырылған ақпараттық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туралы (4.0 нысанды карточкалар, 4.1 нысанды атқарушылық құжатты есепке алу карточкалары, атқарушылық құжаттың қозғалысы және оны орындау нәтижелері туралы карточкалар)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Әдiлет министрлiгi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және жеке басын куәландыратын құжаттар туралы, адамның тіркелген мекенжайы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азаматтық хал актілері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Әдiлет министрлiгi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әрекеттеріне ауыртпалық салу/алып тастау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тұлғадағы</w:t>
            </w:r>
          </w:p>
          <w:p>
            <w:pPr>
              <w:spacing w:after="20"/>
              <w:ind w:left="20"/>
              <w:jc w:val="both"/>
            </w:pPr>
            <w:r>
              <w:rPr>
                <w:rFonts w:ascii="Times New Roman"/>
                <w:b w:val="false"/>
                <w:i w:val="false"/>
                <w:color w:val="000000"/>
                <w:sz w:val="20"/>
              </w:rPr>
              <w:t>
қатысушының үлесіне ауыртпалық салу/алып тастау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мүліктің тіркелімі" </w:t>
            </w:r>
          </w:p>
          <w:p>
            <w:pPr>
              <w:spacing w:after="20"/>
              <w:ind w:left="20"/>
              <w:jc w:val="both"/>
            </w:pPr>
            <w:r>
              <w:rPr>
                <w:rFonts w:ascii="Times New Roman"/>
                <w:b w:val="false"/>
                <w:i w:val="false"/>
                <w:color w:val="000000"/>
                <w:sz w:val="20"/>
              </w:rPr>
              <w:t>
мемлекеттік дерекқоры"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және тарихи деректерді қоса алғанда, объектіге құқық иелену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Әдiлет министрлiгi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объектілерімен операцияларға ауыртпалықты салу/алып тастау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 жөнiндегi мемлекеттiк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кезіндегі жұмыс орны (жұмыс беруші) және төлемдер (зейнетақы, зейнеткерлік аударымдар және т.б.)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w:t>
            </w:r>
          </w:p>
          <w:p>
            <w:pPr>
              <w:spacing w:after="20"/>
              <w:ind w:left="20"/>
              <w:jc w:val="both"/>
            </w:pPr>
            <w:r>
              <w:rPr>
                <w:rFonts w:ascii="Times New Roman"/>
                <w:b w:val="false"/>
                <w:i w:val="false"/>
                <w:color w:val="000000"/>
                <w:sz w:val="20"/>
              </w:rPr>
              <w:t>
жөнiндегi</w:t>
            </w:r>
          </w:p>
          <w:p>
            <w:pPr>
              <w:spacing w:after="20"/>
              <w:ind w:left="20"/>
              <w:jc w:val="both"/>
            </w:pPr>
            <w:r>
              <w:rPr>
                <w:rFonts w:ascii="Times New Roman"/>
                <w:b w:val="false"/>
                <w:i w:val="false"/>
                <w:color w:val="000000"/>
                <w:sz w:val="20"/>
              </w:rPr>
              <w:t>
мемлекеттiк орталық" республикалық мемлекеттік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жұмыс күшiн тарту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w:t>
            </w:r>
          </w:p>
          <w:p>
            <w:pPr>
              <w:spacing w:after="20"/>
              <w:ind w:left="20"/>
              <w:jc w:val="both"/>
            </w:pPr>
            <w:r>
              <w:rPr>
                <w:rFonts w:ascii="Times New Roman"/>
                <w:b w:val="false"/>
                <w:i w:val="false"/>
                <w:color w:val="000000"/>
                <w:sz w:val="20"/>
              </w:rPr>
              <w:t>
жөнiндегi мемлекеттiк орталық" республикалық мемлекеттік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абоненттері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w:t>
            </w:r>
          </w:p>
          <w:p>
            <w:pPr>
              <w:spacing w:after="20"/>
              <w:ind w:left="20"/>
              <w:jc w:val="both"/>
            </w:pPr>
            <w:r>
              <w:rPr>
                <w:rFonts w:ascii="Times New Roman"/>
                <w:b w:val="false"/>
                <w:i w:val="false"/>
                <w:color w:val="000000"/>
                <w:sz w:val="20"/>
              </w:rPr>
              <w:t>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"Е-нотариат"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 және жасалған нотариаттық iс-әрекеттер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(мәліметтер үшін Қазақстан Республикасы Әдiлет министрлiгi жауапты)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Авиакомпаниялардың ақпараттық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және (немесе) бронға қойылған билеттер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w:t>
            </w:r>
          </w:p>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ақпараттық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Ескертпе:</w:t>
      </w:r>
    </w:p>
    <w:bookmarkEnd w:id="4"/>
    <w:p>
      <w:pPr>
        <w:spacing w:after="0"/>
        <w:ind w:left="0"/>
        <w:jc w:val="both"/>
      </w:pPr>
      <w:r>
        <w:rPr>
          <w:rFonts w:ascii="Times New Roman"/>
          <w:b w:val="false"/>
          <w:i w:val="false"/>
          <w:color w:val="000000"/>
          <w:sz w:val="28"/>
        </w:rPr>
        <w:t>
      Заңмен қорғалатын құпияны құрайтын мәліметтерге қолжетімділік заңнамалық актілерде белгіленген тәртіппен беріледі.</w:t>
      </w:r>
    </w:p>
    <w:p>
      <w:pPr>
        <w:spacing w:after="0"/>
        <w:ind w:left="0"/>
        <w:jc w:val="both"/>
      </w:pPr>
      <w:r>
        <w:rPr>
          <w:rFonts w:ascii="Times New Roman"/>
          <w:b w:val="false"/>
          <w:i w:val="false"/>
          <w:color w:val="000000"/>
          <w:sz w:val="28"/>
        </w:rPr>
        <w:t xml:space="preserve">
      * – мәліметтерді жіберу ақпараттық өзара іс-қимыл сервисін іске асырғаннан және ресми пайдалануға енгізгеннен кейін жүзеге асырылатын болады, пайдаланушыға қолжетімділікті ұсыну және мәліметтерді пайдалану бірлескен бұйрықтар (келісімдер, меморандумдар) шеңберінде құқық қорғау, арнайы мемлекеттік және өзге де органдардың ақпарат алмасу жүйесі операторының және ақпараттық жүйе иесінің ақпараттық өзара іс-қимылын нормативтік бекіткеннен кейін ғана заңды болады; </w:t>
      </w:r>
    </w:p>
    <w:p>
      <w:pPr>
        <w:spacing w:after="0"/>
        <w:ind w:left="0"/>
        <w:jc w:val="both"/>
      </w:pPr>
      <w:r>
        <w:rPr>
          <w:rFonts w:ascii="Times New Roman"/>
          <w:b w:val="false"/>
          <w:i w:val="false"/>
          <w:color w:val="000000"/>
          <w:sz w:val="28"/>
        </w:rPr>
        <w:t>
      ** – қорғаныс істері жөніндегі басқармалардың (бөлімдердің) жұмылдыру ресурстарының ықпалдасқан шлюзіне қолжетімділігі, сондай-ақ Қазақстан Республикасының Қорғаныс министрлігі мен Қазақстан Республикасы Бас прокуратурасының ақпараттық жүйелердің өзара іс-қимылы жөніндегі бірлескен бұйрықтарының болуы шартымен.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