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aa41" w14:textId="988a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барлау мен өндіруге арналған келісімшарттар жасасу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77 қаулысы</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2010 жылғы </w:t>
      </w:r>
      <w:r>
        <w:br/>
      </w:r>
      <w:r>
        <w:rPr>
          <w:rFonts w:ascii="Times New Roman"/>
          <w:b w:val="false"/>
          <w:i w:val="false"/>
          <w:color w:val="000000"/>
          <w:sz w:val="28"/>
        </w:rPr>
        <w:t>
24 маусымдағы Қазақстан Республикасының Заңы 61-бабының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 заңнамада белгіленген тәртіппен осы қаулыға қосымшаға сәйкес Маңғыстау, Атырау және Ақтөбе облыстарында орналасқан Қосбұлақ жер қойнауы учаскесінде және Маңғыстау облысында орналасқан блоктар шегіндегі жер қойнауы учаскесінде көмірсутек шикізатын бірлесіп барлау мен өндіруге арналған келісімшарттар жасассын.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18 ақпандағы </w:t>
      </w:r>
      <w:r>
        <w:br/>
      </w:r>
      <w:r>
        <w:rPr>
          <w:rFonts w:ascii="Times New Roman"/>
          <w:b w:val="false"/>
          <w:i w:val="false"/>
          <w:color w:val="000000"/>
          <w:sz w:val="28"/>
        </w:rPr>
        <w:t xml:space="preserve">
№ 77 қаулысына     </w:t>
      </w:r>
      <w:r>
        <w:br/>
      </w:r>
      <w:r>
        <w:rPr>
          <w:rFonts w:ascii="Times New Roman"/>
          <w:b w:val="false"/>
          <w:i w:val="false"/>
          <w:color w:val="000000"/>
          <w:sz w:val="28"/>
        </w:rPr>
        <w:t>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442"/>
        <w:gridCol w:w="5742"/>
      </w:tblGrid>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учаскесінің атауы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XXVIII-20-D (ішінара), E (ішінара), F (ішінара), 21-A (ішінара), B (ішінара), C (ішінара), D (ішінара), E, F; XXIX-18-F (ішінара), 19-A (ішінара), B (ішінара), C (ішінара), D (ішінара), E, F (ішінара), 20-A, B, C, D (ішінара), E (ішінара), F(ішінара), 21; XXX-18-C (ішінара), F (ішінара), 19-A, B, C (ішінара), D (ішінара), E, F (ішінара), 20-A (ішінара), C (ішінара), D (ішінара), E (ішінара), F (ішінара), 21-A (ішінара), B,C, D, E, F, 22; XXXI-19-A (ішінара), B, C, D (ішінара), E (ішінара), F, 20, 21, 22-A, B, C, D, E, F (ішінара); XXXII-19-B (ішінара), C (ішінара), F (ішінара), 20-A, B, C, D (ішінара), E (ішінара), F (ішінара), 21-A, B (ішінара), C (ішінара), D (ішінара), E (ішінара), 22-A (ішінара), B (ішінара), C (ішінара) блоктары шегіндегі Қосбұлақ</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56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 xml:space="preserve">,, </w:t>
            </w:r>
            <w:r>
              <w:rPr>
                <w:rFonts w:ascii="Times New Roman"/>
                <w:b w:val="false"/>
                <w:i w:val="false"/>
                <w:color w:val="000000"/>
                <w:sz w:val="20"/>
              </w:rPr>
              <w:t>ш.б.</w:t>
            </w:r>
            <w:r>
              <w:br/>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с.е. 57</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57</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57</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57</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56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55</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Шағырлы-Шөмішті кен орнын қоспағанда</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XXXVII-11-F (ішінара), 12-D (ішінара), F (ішінара), E (ішінара); XXXVIII-11-C (ішінара), 12-A (ішінара), B, C (ішінара), D (ішінара), E (ішінара), F, 13-A (ішінара), B (ішінара), C (ішінара), D,E,F, 14-A (ішінара), D (ішінара), E (ішінара); XXXIX-12-B (ішінара), C (ішінара), E (ішінара), F (ішінара), 13-A (ішінара), B, C, D (ішінара), E (ішінара), F, 14-A, B (ішінара), C (ішінара), D (ішінара), E (ішінара); XL-13-B (ішінара), C, D (ішінара), E (ішінара), F (ішінара), 14-A (ішінара), D (ішінара); XLI-13-C (ішінара) блоктары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 xml:space="preserve"> с.е. 51</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 xml:space="preserve"> с.е. 51</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val="false"/>
                <w:color w:val="000000"/>
                <w:vertAlign w:val="superscript"/>
              </w:rPr>
              <w:t>,</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04</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 53</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 xml:space="preserve"> с.е. 53</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 xml:space="preserve"> с.е. 52</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 xml:space="preserve"> ш.б.</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