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f7db4" w14:textId="57f7d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"Рентабельділігі төмен, өте тұтқыр, су басқан, дебеті аз және сарқылған кен орындарының санатына жататын көмірсутек шикізаты кен орындарының (кен орындары тобының, кен орнының бір бөлігінің) тізбесін бекіту туралы" Қазақстан Республикасы Үкіметінің 2014 жылғы 18 маусымдағы № 673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31 қазандағы № 877 қаулысы. Күші жойылды - Қазақстан Республикасы Үкіметінің 2019 жылғы 27 маусымдағы № 449 қаулысымен</w:t>
      </w:r>
    </w:p>
    <w:p>
      <w:pPr>
        <w:spacing w:after="0"/>
        <w:ind w:left="0"/>
        <w:jc w:val="both"/>
      </w:pPr>
      <w:r>
        <w:rPr>
          <w:rFonts w:ascii="Times New Roman"/>
          <w:b w:val="false"/>
          <w:i w:val="false"/>
          <w:color w:val="ff0000"/>
          <w:sz w:val="28"/>
        </w:rPr>
        <w:t xml:space="preserve">
      Ескерту. Күші жойылды – ҚР Үкіметінің 27.06.2019 </w:t>
      </w:r>
      <w:r>
        <w:rPr>
          <w:rFonts w:ascii="Times New Roman"/>
          <w:b w:val="false"/>
          <w:i w:val="false"/>
          <w:color w:val="ff0000"/>
          <w:sz w:val="28"/>
        </w:rPr>
        <w:t>№ 449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p>
    <w:bookmarkEnd w:id="0"/>
    <w:bookmarkStart w:name="z2" w:id="1"/>
    <w:p>
      <w:pPr>
        <w:spacing w:after="0"/>
        <w:ind w:left="0"/>
        <w:jc w:val="both"/>
      </w:pPr>
      <w:r>
        <w:rPr>
          <w:rFonts w:ascii="Times New Roman"/>
          <w:b w:val="false"/>
          <w:i w:val="false"/>
          <w:color w:val="000000"/>
          <w:sz w:val="28"/>
        </w:rPr>
        <w:t xml:space="preserve">
      1. "Рентабельділігі төмен, өте тұтқыр, су басқан, дебеті аз және сарқылған кен орындарының санатына жататын көмірсутек шикізаты кен орындарының (кен орындары тобының, кен орнының бір бөлігінің) тізбесін бекіту туралы" Қазақстан Республикасы Үкіметінің 2014 жылғы 18 маусымдағы № 673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2014 ж., № 42, 400-құжат)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рентабельділігі төмен, өте тұтқыр, су басқан, дебеті аз және сарқылған кен орындарының санатына жататын көмірсутек шикізаты кен орындарының (кен орындары тобының, кен орнының бір бөлігінің) </w:t>
      </w:r>
      <w:r>
        <w:rPr>
          <w:rFonts w:ascii="Times New Roman"/>
          <w:b w:val="false"/>
          <w:i w:val="false"/>
          <w:color w:val="000000"/>
          <w:sz w:val="28"/>
        </w:rPr>
        <w:t>тізбесі</w:t>
      </w:r>
      <w:r>
        <w:rPr>
          <w:rFonts w:ascii="Times New Roman"/>
          <w:b w:val="false"/>
          <w:i w:val="false"/>
          <w:color w:val="000000"/>
          <w:sz w:val="28"/>
        </w:rPr>
        <w:t xml:space="preserve"> мынадай мазмұндағы реттік нөмірлері 2 және 3-жолдармен толықтырылсын:</w:t>
      </w:r>
    </w:p>
    <w:bookmarkEnd w:id="2"/>
    <w:bookmarkStart w:name="z4" w:id="3"/>
    <w:p>
      <w:pPr>
        <w:spacing w:after="0"/>
        <w:ind w:left="0"/>
        <w:jc w:val="both"/>
      </w:pP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
        <w:gridCol w:w="2307"/>
        <w:gridCol w:w="4408"/>
        <w:gridCol w:w="2525"/>
        <w:gridCol w:w="716"/>
        <w:gridCol w:w="129"/>
        <w:gridCol w:w="1181"/>
        <w:gridCol w:w="210"/>
        <w:gridCol w:w="534"/>
      </w:tblGrid>
      <w:tr>
        <w:trPr>
          <w:trHeight w:val="30" w:hRule="atLeast"/>
        </w:trPr>
        <w:tc>
          <w:tcPr>
            <w:tcW w:w="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Мақат ауданындағы Жолдыбай мұнай-газ кен орны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 жылғы 15 қарашада тіркелген № 34 Жолдыбай және Жыланқабақ кен орындарында көмірсутегін жете барлауды, игеруді және өндіруді жүргізуге арналған 1995 жылғы 27 қыркүйектегі шарт</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сериялы жер қойнауын пайдалануға арналған 1995 жылғы 7 маусымдағы № 30 (мұнай) лицензия</w:t>
            </w:r>
          </w:p>
        </w:tc>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"Тандай Петролеум" жауапкершілігі шектеулі серіктестігі</w:t>
            </w:r>
          </w:p>
        </w:tc>
        <w:tc>
          <w:tcPr>
            <w:tcW w:w="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орындарындағы мұнайдың орташа тәуліктік дебеті тәулігіне 3 тоннадан аз мөлшерді құрайды</w:t>
            </w:r>
          </w:p>
        </w:tc>
        <w:tc>
          <w:tcPr>
            <w:tcW w:w="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Дебеті аз</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w:t>
            </w:r>
            <w:r>
              <w:rPr>
                <w:rFonts w:ascii="Times New Roman"/>
                <w:b w:val="false"/>
                <w:i w:val="false"/>
                <w:color w:val="000000"/>
                <w:vertAlign w:val="superscript"/>
              </w:rPr>
              <w:t>0</w:t>
            </w:r>
            <w:r>
              <w:rPr>
                <w:rFonts w:ascii="Times New Roman"/>
                <w:b w:val="false"/>
                <w:i w:val="false"/>
                <w:color w:val="000000"/>
                <w:sz w:val="20"/>
              </w:rPr>
              <w:t>42'00"с.е.</w:t>
            </w:r>
          </w:p>
          <w:p>
            <w:pPr>
              <w:spacing w:after="20"/>
              <w:ind w:left="20"/>
              <w:jc w:val="both"/>
            </w:pPr>
            <w:r>
              <w:rPr>
                <w:rFonts w:ascii="Times New Roman"/>
                <w:b w:val="false"/>
                <w:i w:val="false"/>
                <w:color w:val="000000"/>
                <w:sz w:val="20"/>
              </w:rPr>
              <w:t>
53</w:t>
            </w:r>
            <w:r>
              <w:rPr>
                <w:rFonts w:ascii="Times New Roman"/>
                <w:b w:val="false"/>
                <w:i w:val="false"/>
                <w:color w:val="000000"/>
                <w:vertAlign w:val="superscript"/>
              </w:rPr>
              <w:t>0</w:t>
            </w:r>
            <w:r>
              <w:rPr>
                <w:rFonts w:ascii="Times New Roman"/>
                <w:b w:val="false"/>
                <w:i w:val="false"/>
                <w:color w:val="000000"/>
                <w:sz w:val="20"/>
              </w:rPr>
              <w:t>39'06"ш.б.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w:t>
            </w:r>
            <w:r>
              <w:rPr>
                <w:rFonts w:ascii="Times New Roman"/>
                <w:b w:val="false"/>
                <w:i w:val="false"/>
                <w:color w:val="000000"/>
                <w:vertAlign w:val="superscript"/>
              </w:rPr>
              <w:t>0</w:t>
            </w:r>
            <w:r>
              <w:rPr>
                <w:rFonts w:ascii="Times New Roman"/>
                <w:b w:val="false"/>
                <w:i w:val="false"/>
                <w:color w:val="000000"/>
                <w:sz w:val="20"/>
              </w:rPr>
              <w:t>42'16"с.е.</w:t>
            </w:r>
          </w:p>
          <w:p>
            <w:pPr>
              <w:spacing w:after="20"/>
              <w:ind w:left="20"/>
              <w:jc w:val="both"/>
            </w:pPr>
            <w:r>
              <w:rPr>
                <w:rFonts w:ascii="Times New Roman"/>
                <w:b w:val="false"/>
                <w:i w:val="false"/>
                <w:color w:val="000000"/>
                <w:sz w:val="20"/>
              </w:rPr>
              <w:t>
53</w:t>
            </w:r>
            <w:r>
              <w:rPr>
                <w:rFonts w:ascii="Times New Roman"/>
                <w:b w:val="false"/>
                <w:i w:val="false"/>
                <w:color w:val="000000"/>
                <w:vertAlign w:val="superscript"/>
              </w:rPr>
              <w:t>0</w:t>
            </w:r>
            <w:r>
              <w:rPr>
                <w:rFonts w:ascii="Times New Roman"/>
                <w:b w:val="false"/>
                <w:i w:val="false"/>
                <w:color w:val="000000"/>
                <w:sz w:val="20"/>
              </w:rPr>
              <w:t>38'48"ш.б.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w:t>
            </w:r>
            <w:r>
              <w:rPr>
                <w:rFonts w:ascii="Times New Roman"/>
                <w:b w:val="false"/>
                <w:i w:val="false"/>
                <w:color w:val="000000"/>
                <w:vertAlign w:val="superscript"/>
              </w:rPr>
              <w:t>0</w:t>
            </w:r>
            <w:r>
              <w:rPr>
                <w:rFonts w:ascii="Times New Roman"/>
                <w:b w:val="false"/>
                <w:i w:val="false"/>
                <w:color w:val="000000"/>
                <w:sz w:val="20"/>
              </w:rPr>
              <w:t>42'46"с.е.</w:t>
            </w:r>
          </w:p>
          <w:p>
            <w:pPr>
              <w:spacing w:after="20"/>
              <w:ind w:left="20"/>
              <w:jc w:val="both"/>
            </w:pPr>
            <w:r>
              <w:rPr>
                <w:rFonts w:ascii="Times New Roman"/>
                <w:b w:val="false"/>
                <w:i w:val="false"/>
                <w:color w:val="000000"/>
                <w:sz w:val="20"/>
              </w:rPr>
              <w:t>
53</w:t>
            </w:r>
            <w:r>
              <w:rPr>
                <w:rFonts w:ascii="Times New Roman"/>
                <w:b w:val="false"/>
                <w:i w:val="false"/>
                <w:color w:val="000000"/>
                <w:vertAlign w:val="superscript"/>
              </w:rPr>
              <w:t>0</w:t>
            </w:r>
            <w:r>
              <w:rPr>
                <w:rFonts w:ascii="Times New Roman"/>
                <w:b w:val="false"/>
                <w:i w:val="false"/>
                <w:color w:val="000000"/>
                <w:sz w:val="20"/>
              </w:rPr>
              <w:t>38'17"ш.б.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w:t>
            </w:r>
            <w:r>
              <w:rPr>
                <w:rFonts w:ascii="Times New Roman"/>
                <w:b w:val="false"/>
                <w:i w:val="false"/>
                <w:color w:val="000000"/>
                <w:vertAlign w:val="superscript"/>
              </w:rPr>
              <w:t>0</w:t>
            </w:r>
            <w:r>
              <w:rPr>
                <w:rFonts w:ascii="Times New Roman"/>
                <w:b w:val="false"/>
                <w:i w:val="false"/>
                <w:color w:val="000000"/>
                <w:sz w:val="20"/>
              </w:rPr>
              <w:t>42'52"с.е.</w:t>
            </w:r>
          </w:p>
          <w:p>
            <w:pPr>
              <w:spacing w:after="20"/>
              <w:ind w:left="20"/>
              <w:jc w:val="both"/>
            </w:pPr>
            <w:r>
              <w:rPr>
                <w:rFonts w:ascii="Times New Roman"/>
                <w:b w:val="false"/>
                <w:i w:val="false"/>
                <w:color w:val="000000"/>
                <w:sz w:val="20"/>
              </w:rPr>
              <w:t>
53</w:t>
            </w:r>
            <w:r>
              <w:rPr>
                <w:rFonts w:ascii="Times New Roman"/>
                <w:b w:val="false"/>
                <w:i w:val="false"/>
                <w:color w:val="000000"/>
                <w:vertAlign w:val="superscript"/>
              </w:rPr>
              <w:t>0</w:t>
            </w:r>
            <w:r>
              <w:rPr>
                <w:rFonts w:ascii="Times New Roman"/>
                <w:b w:val="false"/>
                <w:i w:val="false"/>
                <w:color w:val="000000"/>
                <w:sz w:val="20"/>
              </w:rPr>
              <w:t>39'00"ш.б.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w:t>
            </w:r>
            <w:r>
              <w:rPr>
                <w:rFonts w:ascii="Times New Roman"/>
                <w:b w:val="false"/>
                <w:i w:val="false"/>
                <w:color w:val="000000"/>
                <w:vertAlign w:val="superscript"/>
              </w:rPr>
              <w:t>0</w:t>
            </w:r>
            <w:r>
              <w:rPr>
                <w:rFonts w:ascii="Times New Roman"/>
                <w:b w:val="false"/>
                <w:i w:val="false"/>
                <w:color w:val="000000"/>
                <w:sz w:val="20"/>
              </w:rPr>
              <w:t>42'11"с.е.</w:t>
            </w:r>
          </w:p>
          <w:p>
            <w:pPr>
              <w:spacing w:after="20"/>
              <w:ind w:left="20"/>
              <w:jc w:val="both"/>
            </w:pPr>
            <w:r>
              <w:rPr>
                <w:rFonts w:ascii="Times New Roman"/>
                <w:b w:val="false"/>
                <w:i w:val="false"/>
                <w:color w:val="000000"/>
                <w:sz w:val="20"/>
              </w:rPr>
              <w:t>
53</w:t>
            </w:r>
            <w:r>
              <w:rPr>
                <w:rFonts w:ascii="Times New Roman"/>
                <w:b w:val="false"/>
                <w:i w:val="false"/>
                <w:color w:val="000000"/>
                <w:vertAlign w:val="superscript"/>
              </w:rPr>
              <w:t>0</w:t>
            </w:r>
            <w:r>
              <w:rPr>
                <w:rFonts w:ascii="Times New Roman"/>
                <w:b w:val="false"/>
                <w:i w:val="false"/>
                <w:color w:val="000000"/>
                <w:sz w:val="20"/>
              </w:rPr>
              <w:t>39'57"ш.б.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w:t>
            </w:r>
            <w:r>
              <w:rPr>
                <w:rFonts w:ascii="Times New Roman"/>
                <w:b w:val="false"/>
                <w:i w:val="false"/>
                <w:color w:val="000000"/>
                <w:vertAlign w:val="superscript"/>
              </w:rPr>
              <w:t>0</w:t>
            </w:r>
            <w:r>
              <w:rPr>
                <w:rFonts w:ascii="Times New Roman"/>
                <w:b w:val="false"/>
                <w:i w:val="false"/>
                <w:color w:val="000000"/>
                <w:sz w:val="20"/>
              </w:rPr>
              <w:t>42'03"с.е.</w:t>
            </w:r>
          </w:p>
          <w:p>
            <w:pPr>
              <w:spacing w:after="20"/>
              <w:ind w:left="20"/>
              <w:jc w:val="both"/>
            </w:pPr>
            <w:r>
              <w:rPr>
                <w:rFonts w:ascii="Times New Roman"/>
                <w:b w:val="false"/>
                <w:i w:val="false"/>
                <w:color w:val="000000"/>
                <w:sz w:val="20"/>
              </w:rPr>
              <w:t>
53</w:t>
            </w:r>
            <w:r>
              <w:rPr>
                <w:rFonts w:ascii="Times New Roman"/>
                <w:b w:val="false"/>
                <w:i w:val="false"/>
                <w:color w:val="000000"/>
                <w:vertAlign w:val="superscript"/>
              </w:rPr>
              <w:t>0</w:t>
            </w:r>
            <w:r>
              <w:rPr>
                <w:rFonts w:ascii="Times New Roman"/>
                <w:b w:val="false"/>
                <w:i w:val="false"/>
                <w:color w:val="000000"/>
                <w:sz w:val="20"/>
              </w:rPr>
              <w:t>40'09"ш.б.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w:t>
            </w:r>
            <w:r>
              <w:rPr>
                <w:rFonts w:ascii="Times New Roman"/>
                <w:b w:val="false"/>
                <w:i w:val="false"/>
                <w:color w:val="000000"/>
                <w:vertAlign w:val="superscript"/>
              </w:rPr>
              <w:t>0</w:t>
            </w:r>
            <w:r>
              <w:rPr>
                <w:rFonts w:ascii="Times New Roman"/>
                <w:b w:val="false"/>
                <w:i w:val="false"/>
                <w:color w:val="000000"/>
                <w:sz w:val="20"/>
              </w:rPr>
              <w:t>41'56"с.е.</w:t>
            </w:r>
          </w:p>
          <w:p>
            <w:pPr>
              <w:spacing w:after="20"/>
              <w:ind w:left="20"/>
              <w:jc w:val="both"/>
            </w:pPr>
            <w:r>
              <w:rPr>
                <w:rFonts w:ascii="Times New Roman"/>
                <w:b w:val="false"/>
                <w:i w:val="false"/>
                <w:color w:val="000000"/>
                <w:sz w:val="20"/>
              </w:rPr>
              <w:t>
53</w:t>
            </w:r>
            <w:r>
              <w:rPr>
                <w:rFonts w:ascii="Times New Roman"/>
                <w:b w:val="false"/>
                <w:i w:val="false"/>
                <w:color w:val="000000"/>
                <w:vertAlign w:val="superscript"/>
              </w:rPr>
              <w:t>0</w:t>
            </w:r>
            <w:r>
              <w:rPr>
                <w:rFonts w:ascii="Times New Roman"/>
                <w:b w:val="false"/>
                <w:i w:val="false"/>
                <w:color w:val="000000"/>
                <w:sz w:val="20"/>
              </w:rPr>
              <w:t>39'49"ш.б.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Жылыой ауданындағы Жыланқабақ мұнай кен орны</w:t>
            </w:r>
          </w:p>
        </w:tc>
        <w:tc>
          <w:tcPr>
            <w:tcW w:w="4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 жылғы 15 қарашада тіркелген № 34 Жолдыбай және Жыланқабақ кен орындарында көмірсутегін жете барлауды, игеруді және өндіруді жүргізуге арналған 1995 жылғы 27 қыркүйектегі шарт</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МГ сериялы жер қойнауын пайдалануға арналған </w:t>
            </w:r>
          </w:p>
          <w:p>
            <w:pPr>
              <w:spacing w:after="20"/>
              <w:ind w:left="20"/>
              <w:jc w:val="both"/>
            </w:pPr>
            <w:r>
              <w:rPr>
                <w:rFonts w:ascii="Times New Roman"/>
                <w:b w:val="false"/>
                <w:i w:val="false"/>
                <w:color w:val="000000"/>
                <w:sz w:val="20"/>
              </w:rPr>
              <w:t>
1995 жылғы 7 маусымдағы № 29 (мұнай) лицензия</w:t>
            </w:r>
          </w:p>
        </w:tc>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"Тандай Петролеум" жауапкершілігі шектеулі серіктестігі</w:t>
            </w:r>
          </w:p>
        </w:tc>
        <w:tc>
          <w:tcPr>
            <w:tcW w:w="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орындарындағы мұнайдың орташа тәуліктік дебеті тәулігіне 3 тоннадан аз мөлшерді құрайды</w:t>
            </w:r>
          </w:p>
        </w:tc>
        <w:tc>
          <w:tcPr>
            <w:tcW w:w="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Дебеті аз</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w:t>
            </w:r>
            <w:r>
              <w:rPr>
                <w:rFonts w:ascii="Times New Roman"/>
                <w:b w:val="false"/>
                <w:i w:val="false"/>
                <w:color w:val="000000"/>
                <w:vertAlign w:val="superscript"/>
              </w:rPr>
              <w:t>0</w:t>
            </w:r>
            <w:r>
              <w:rPr>
                <w:rFonts w:ascii="Times New Roman"/>
                <w:b w:val="false"/>
                <w:i w:val="false"/>
                <w:color w:val="000000"/>
                <w:sz w:val="20"/>
              </w:rPr>
              <w:t>37'17,6"с.е.</w:t>
            </w:r>
          </w:p>
          <w:p>
            <w:pPr>
              <w:spacing w:after="20"/>
              <w:ind w:left="20"/>
              <w:jc w:val="both"/>
            </w:pPr>
            <w:r>
              <w:rPr>
                <w:rFonts w:ascii="Times New Roman"/>
                <w:b w:val="false"/>
                <w:i w:val="false"/>
                <w:color w:val="000000"/>
                <w:sz w:val="20"/>
              </w:rPr>
              <w:t>
54</w:t>
            </w:r>
            <w:r>
              <w:rPr>
                <w:rFonts w:ascii="Times New Roman"/>
                <w:b w:val="false"/>
                <w:i w:val="false"/>
                <w:color w:val="000000"/>
                <w:vertAlign w:val="superscript"/>
              </w:rPr>
              <w:t>0</w:t>
            </w:r>
            <w:r>
              <w:rPr>
                <w:rFonts w:ascii="Times New Roman"/>
                <w:b w:val="false"/>
                <w:i w:val="false"/>
                <w:color w:val="000000"/>
                <w:sz w:val="20"/>
              </w:rPr>
              <w:t>25'05"ш.б.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w:t>
            </w:r>
            <w:r>
              <w:rPr>
                <w:rFonts w:ascii="Times New Roman"/>
                <w:b w:val="false"/>
                <w:i w:val="false"/>
                <w:color w:val="000000"/>
                <w:vertAlign w:val="superscript"/>
              </w:rPr>
              <w:t>0</w:t>
            </w:r>
            <w:r>
              <w:rPr>
                <w:rFonts w:ascii="Times New Roman"/>
                <w:b w:val="false"/>
                <w:i w:val="false"/>
                <w:color w:val="000000"/>
                <w:sz w:val="20"/>
              </w:rPr>
              <w:t>37'20,7"с.е.</w:t>
            </w:r>
          </w:p>
          <w:p>
            <w:pPr>
              <w:spacing w:after="20"/>
              <w:ind w:left="20"/>
              <w:jc w:val="both"/>
            </w:pPr>
            <w:r>
              <w:rPr>
                <w:rFonts w:ascii="Times New Roman"/>
                <w:b w:val="false"/>
                <w:i w:val="false"/>
                <w:color w:val="000000"/>
                <w:sz w:val="20"/>
              </w:rPr>
              <w:t>
54</w:t>
            </w:r>
            <w:r>
              <w:rPr>
                <w:rFonts w:ascii="Times New Roman"/>
                <w:b w:val="false"/>
                <w:i w:val="false"/>
                <w:color w:val="000000"/>
                <w:vertAlign w:val="superscript"/>
              </w:rPr>
              <w:t>0</w:t>
            </w:r>
            <w:r>
              <w:rPr>
                <w:rFonts w:ascii="Times New Roman"/>
                <w:b w:val="false"/>
                <w:i w:val="false"/>
                <w:color w:val="000000"/>
                <w:sz w:val="20"/>
              </w:rPr>
              <w:t>26'03"ш.б.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w:t>
            </w:r>
            <w:r>
              <w:rPr>
                <w:rFonts w:ascii="Times New Roman"/>
                <w:b w:val="false"/>
                <w:i w:val="false"/>
                <w:color w:val="000000"/>
                <w:vertAlign w:val="superscript"/>
              </w:rPr>
              <w:t>0</w:t>
            </w:r>
            <w:r>
              <w:rPr>
                <w:rFonts w:ascii="Times New Roman"/>
                <w:b w:val="false"/>
                <w:i w:val="false"/>
                <w:color w:val="000000"/>
                <w:sz w:val="20"/>
              </w:rPr>
              <w:t>37'23,1"с.е.</w:t>
            </w:r>
          </w:p>
          <w:p>
            <w:pPr>
              <w:spacing w:after="20"/>
              <w:ind w:left="20"/>
              <w:jc w:val="both"/>
            </w:pPr>
            <w:r>
              <w:rPr>
                <w:rFonts w:ascii="Times New Roman"/>
                <w:b w:val="false"/>
                <w:i w:val="false"/>
                <w:color w:val="000000"/>
                <w:sz w:val="20"/>
              </w:rPr>
              <w:t>
54</w:t>
            </w:r>
            <w:r>
              <w:rPr>
                <w:rFonts w:ascii="Times New Roman"/>
                <w:b w:val="false"/>
                <w:i w:val="false"/>
                <w:color w:val="000000"/>
                <w:vertAlign w:val="superscript"/>
              </w:rPr>
              <w:t>0</w:t>
            </w:r>
            <w:r>
              <w:rPr>
                <w:rFonts w:ascii="Times New Roman"/>
                <w:b w:val="false"/>
                <w:i w:val="false"/>
                <w:color w:val="000000"/>
                <w:sz w:val="20"/>
              </w:rPr>
              <w:t>26'03"ш.б.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w:t>
            </w:r>
            <w:r>
              <w:rPr>
                <w:rFonts w:ascii="Times New Roman"/>
                <w:b w:val="false"/>
                <w:i w:val="false"/>
                <w:color w:val="000000"/>
                <w:vertAlign w:val="superscript"/>
              </w:rPr>
              <w:t>0</w:t>
            </w:r>
            <w:r>
              <w:rPr>
                <w:rFonts w:ascii="Times New Roman"/>
                <w:b w:val="false"/>
                <w:i w:val="false"/>
                <w:color w:val="000000"/>
                <w:sz w:val="20"/>
              </w:rPr>
              <w:t>37'33,3"с.е.</w:t>
            </w:r>
          </w:p>
          <w:p>
            <w:pPr>
              <w:spacing w:after="20"/>
              <w:ind w:left="20"/>
              <w:jc w:val="both"/>
            </w:pPr>
            <w:r>
              <w:rPr>
                <w:rFonts w:ascii="Times New Roman"/>
                <w:b w:val="false"/>
                <w:i w:val="false"/>
                <w:color w:val="000000"/>
                <w:sz w:val="20"/>
              </w:rPr>
              <w:t>
54</w:t>
            </w:r>
            <w:r>
              <w:rPr>
                <w:rFonts w:ascii="Times New Roman"/>
                <w:b w:val="false"/>
                <w:i w:val="false"/>
                <w:color w:val="000000"/>
                <w:vertAlign w:val="superscript"/>
              </w:rPr>
              <w:t>0</w:t>
            </w:r>
            <w:r>
              <w:rPr>
                <w:rFonts w:ascii="Times New Roman"/>
                <w:b w:val="false"/>
                <w:i w:val="false"/>
                <w:color w:val="000000"/>
                <w:sz w:val="20"/>
              </w:rPr>
              <w:t>27'07,8"ш.б.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w:t>
            </w:r>
            <w:r>
              <w:rPr>
                <w:rFonts w:ascii="Times New Roman"/>
                <w:b w:val="false"/>
                <w:i w:val="false"/>
                <w:color w:val="000000"/>
                <w:vertAlign w:val="superscript"/>
              </w:rPr>
              <w:t>0</w:t>
            </w:r>
            <w:r>
              <w:rPr>
                <w:rFonts w:ascii="Times New Roman"/>
                <w:b w:val="false"/>
                <w:i w:val="false"/>
                <w:color w:val="000000"/>
                <w:sz w:val="20"/>
              </w:rPr>
              <w:t>37'00,0"с.е.</w:t>
            </w:r>
          </w:p>
          <w:p>
            <w:pPr>
              <w:spacing w:after="20"/>
              <w:ind w:left="20"/>
              <w:jc w:val="both"/>
            </w:pPr>
            <w:r>
              <w:rPr>
                <w:rFonts w:ascii="Times New Roman"/>
                <w:b w:val="false"/>
                <w:i w:val="false"/>
                <w:color w:val="000000"/>
                <w:sz w:val="20"/>
              </w:rPr>
              <w:t>
54</w:t>
            </w:r>
            <w:r>
              <w:rPr>
                <w:rFonts w:ascii="Times New Roman"/>
                <w:b w:val="false"/>
                <w:i w:val="false"/>
                <w:color w:val="000000"/>
                <w:vertAlign w:val="superscript"/>
              </w:rPr>
              <w:t>0</w:t>
            </w:r>
            <w:r>
              <w:rPr>
                <w:rFonts w:ascii="Times New Roman"/>
                <w:b w:val="false"/>
                <w:i w:val="false"/>
                <w:color w:val="000000"/>
                <w:sz w:val="20"/>
              </w:rPr>
              <w:t>26'26,6"ш.б.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w:t>
            </w:r>
            <w:r>
              <w:rPr>
                <w:rFonts w:ascii="Times New Roman"/>
                <w:b w:val="false"/>
                <w:i w:val="false"/>
                <w:color w:val="000000"/>
                <w:vertAlign w:val="superscript"/>
              </w:rPr>
              <w:t>0</w:t>
            </w:r>
            <w:r>
              <w:rPr>
                <w:rFonts w:ascii="Times New Roman"/>
                <w:b w:val="false"/>
                <w:i w:val="false"/>
                <w:color w:val="000000"/>
                <w:sz w:val="20"/>
              </w:rPr>
              <w:t>36'43,5"с.е.</w:t>
            </w:r>
          </w:p>
          <w:p>
            <w:pPr>
              <w:spacing w:after="20"/>
              <w:ind w:left="20"/>
              <w:jc w:val="both"/>
            </w:pPr>
            <w:r>
              <w:rPr>
                <w:rFonts w:ascii="Times New Roman"/>
                <w:b w:val="false"/>
                <w:i w:val="false"/>
                <w:color w:val="000000"/>
                <w:sz w:val="20"/>
              </w:rPr>
              <w:t>
54</w:t>
            </w:r>
            <w:r>
              <w:rPr>
                <w:rFonts w:ascii="Times New Roman"/>
                <w:b w:val="false"/>
                <w:i w:val="false"/>
                <w:color w:val="000000"/>
                <w:vertAlign w:val="superscript"/>
              </w:rPr>
              <w:t>0</w:t>
            </w:r>
            <w:r>
              <w:rPr>
                <w:rFonts w:ascii="Times New Roman"/>
                <w:b w:val="false"/>
                <w:i w:val="false"/>
                <w:color w:val="000000"/>
                <w:sz w:val="20"/>
              </w:rPr>
              <w:t>25'50,1"ш.б.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w:t>
            </w:r>
            <w:r>
              <w:rPr>
                <w:rFonts w:ascii="Times New Roman"/>
                <w:b w:val="false"/>
                <w:i w:val="false"/>
                <w:color w:val="000000"/>
                <w:vertAlign w:val="superscript"/>
              </w:rPr>
              <w:t>0</w:t>
            </w:r>
            <w:r>
              <w:rPr>
                <w:rFonts w:ascii="Times New Roman"/>
                <w:b w:val="false"/>
                <w:i w:val="false"/>
                <w:color w:val="000000"/>
                <w:sz w:val="20"/>
              </w:rPr>
              <w:t>36'38,2"с.е.</w:t>
            </w:r>
          </w:p>
          <w:p>
            <w:pPr>
              <w:spacing w:after="20"/>
              <w:ind w:left="20"/>
              <w:jc w:val="both"/>
            </w:pPr>
            <w:r>
              <w:rPr>
                <w:rFonts w:ascii="Times New Roman"/>
                <w:b w:val="false"/>
                <w:i w:val="false"/>
                <w:color w:val="000000"/>
                <w:sz w:val="20"/>
              </w:rPr>
              <w:t>
54</w:t>
            </w:r>
            <w:r>
              <w:rPr>
                <w:rFonts w:ascii="Times New Roman"/>
                <w:b w:val="false"/>
                <w:i w:val="false"/>
                <w:color w:val="000000"/>
                <w:vertAlign w:val="superscript"/>
              </w:rPr>
              <w:t>0</w:t>
            </w:r>
            <w:r>
              <w:rPr>
                <w:rFonts w:ascii="Times New Roman"/>
                <w:b w:val="false"/>
                <w:i w:val="false"/>
                <w:color w:val="000000"/>
                <w:sz w:val="20"/>
              </w:rPr>
              <w:t>25'27,6"ш.б.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w:t>
            </w:r>
            <w:r>
              <w:rPr>
                <w:rFonts w:ascii="Times New Roman"/>
                <w:b w:val="false"/>
                <w:i w:val="false"/>
                <w:color w:val="000000"/>
                <w:vertAlign w:val="superscript"/>
              </w:rPr>
              <w:t>0</w:t>
            </w:r>
            <w:r>
              <w:rPr>
                <w:rFonts w:ascii="Times New Roman"/>
                <w:b w:val="false"/>
                <w:i w:val="false"/>
                <w:color w:val="000000"/>
                <w:sz w:val="20"/>
              </w:rPr>
              <w:t>36'33,3"с.е.</w:t>
            </w:r>
          </w:p>
          <w:p>
            <w:pPr>
              <w:spacing w:after="20"/>
              <w:ind w:left="20"/>
              <w:jc w:val="both"/>
            </w:pPr>
            <w:r>
              <w:rPr>
                <w:rFonts w:ascii="Times New Roman"/>
                <w:b w:val="false"/>
                <w:i w:val="false"/>
                <w:color w:val="000000"/>
                <w:sz w:val="20"/>
              </w:rPr>
              <w:t>
54</w:t>
            </w:r>
            <w:r>
              <w:rPr>
                <w:rFonts w:ascii="Times New Roman"/>
                <w:b w:val="false"/>
                <w:i w:val="false"/>
                <w:color w:val="000000"/>
                <w:vertAlign w:val="superscript"/>
              </w:rPr>
              <w:t>0</w:t>
            </w:r>
            <w:r>
              <w:rPr>
                <w:rFonts w:ascii="Times New Roman"/>
                <w:b w:val="false"/>
                <w:i w:val="false"/>
                <w:color w:val="000000"/>
                <w:sz w:val="20"/>
              </w:rPr>
              <w:t>24'42,8"ш.б.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w:t>
            </w:r>
            <w:r>
              <w:rPr>
                <w:rFonts w:ascii="Times New Roman"/>
                <w:b w:val="false"/>
                <w:i w:val="false"/>
                <w:color w:val="000000"/>
                <w:vertAlign w:val="superscript"/>
              </w:rPr>
              <w:t>0</w:t>
            </w:r>
            <w:r>
              <w:rPr>
                <w:rFonts w:ascii="Times New Roman"/>
                <w:b w:val="false"/>
                <w:i w:val="false"/>
                <w:color w:val="000000"/>
                <w:sz w:val="20"/>
              </w:rPr>
              <w:t>36'46,0"с.е.</w:t>
            </w:r>
          </w:p>
          <w:p>
            <w:pPr>
              <w:spacing w:after="20"/>
              <w:ind w:left="20"/>
              <w:jc w:val="both"/>
            </w:pPr>
            <w:r>
              <w:rPr>
                <w:rFonts w:ascii="Times New Roman"/>
                <w:b w:val="false"/>
                <w:i w:val="false"/>
                <w:color w:val="000000"/>
                <w:sz w:val="20"/>
              </w:rPr>
              <w:t>
54</w:t>
            </w:r>
            <w:r>
              <w:rPr>
                <w:rFonts w:ascii="Times New Roman"/>
                <w:b w:val="false"/>
                <w:i w:val="false"/>
                <w:color w:val="000000"/>
                <w:vertAlign w:val="superscript"/>
              </w:rPr>
              <w:t>0</w:t>
            </w:r>
            <w:r>
              <w:rPr>
                <w:rFonts w:ascii="Times New Roman"/>
                <w:b w:val="false"/>
                <w:i w:val="false"/>
                <w:color w:val="000000"/>
                <w:sz w:val="20"/>
              </w:rPr>
              <w:t>24'50,8"ш.б.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w:t>
            </w:r>
            <w:r>
              <w:rPr>
                <w:rFonts w:ascii="Times New Roman"/>
                <w:b w:val="false"/>
                <w:i w:val="false"/>
                <w:color w:val="000000"/>
                <w:vertAlign w:val="superscript"/>
              </w:rPr>
              <w:t>0</w:t>
            </w:r>
            <w:r>
              <w:rPr>
                <w:rFonts w:ascii="Times New Roman"/>
                <w:b w:val="false"/>
                <w:i w:val="false"/>
                <w:color w:val="000000"/>
                <w:sz w:val="20"/>
              </w:rPr>
              <w:t>36'45,0"с.е.</w:t>
            </w:r>
          </w:p>
          <w:p>
            <w:pPr>
              <w:spacing w:after="20"/>
              <w:ind w:left="20"/>
              <w:jc w:val="both"/>
            </w:pPr>
            <w:r>
              <w:rPr>
                <w:rFonts w:ascii="Times New Roman"/>
                <w:b w:val="false"/>
                <w:i w:val="false"/>
                <w:color w:val="000000"/>
                <w:sz w:val="20"/>
              </w:rPr>
              <w:t>
54</w:t>
            </w:r>
            <w:r>
              <w:rPr>
                <w:rFonts w:ascii="Times New Roman"/>
                <w:b w:val="false"/>
                <w:i w:val="false"/>
                <w:color w:val="000000"/>
                <w:vertAlign w:val="superscript"/>
              </w:rPr>
              <w:t>0</w:t>
            </w:r>
            <w:r>
              <w:rPr>
                <w:rFonts w:ascii="Times New Roman"/>
                <w:b w:val="false"/>
                <w:i w:val="false"/>
                <w:color w:val="000000"/>
                <w:sz w:val="20"/>
              </w:rPr>
              <w:t>24'38,6"ш.б.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w:t>
            </w:r>
            <w:r>
              <w:rPr>
                <w:rFonts w:ascii="Times New Roman"/>
                <w:b w:val="false"/>
                <w:i w:val="false"/>
                <w:color w:val="000000"/>
                <w:vertAlign w:val="superscript"/>
              </w:rPr>
              <w:t>0</w:t>
            </w:r>
            <w:r>
              <w:rPr>
                <w:rFonts w:ascii="Times New Roman"/>
                <w:b w:val="false"/>
                <w:i w:val="false"/>
                <w:color w:val="000000"/>
                <w:sz w:val="20"/>
              </w:rPr>
              <w:t>36'48,0"с.е.</w:t>
            </w:r>
          </w:p>
          <w:p>
            <w:pPr>
              <w:spacing w:after="20"/>
              <w:ind w:left="20"/>
              <w:jc w:val="both"/>
            </w:pPr>
            <w:r>
              <w:rPr>
                <w:rFonts w:ascii="Times New Roman"/>
                <w:b w:val="false"/>
                <w:i w:val="false"/>
                <w:color w:val="000000"/>
                <w:sz w:val="20"/>
              </w:rPr>
              <w:t>
54</w:t>
            </w:r>
            <w:r>
              <w:rPr>
                <w:rFonts w:ascii="Times New Roman"/>
                <w:b w:val="false"/>
                <w:i w:val="false"/>
                <w:color w:val="000000"/>
                <w:vertAlign w:val="superscript"/>
              </w:rPr>
              <w:t>0</w:t>
            </w:r>
            <w:r>
              <w:rPr>
                <w:rFonts w:ascii="Times New Roman"/>
                <w:b w:val="false"/>
                <w:i w:val="false"/>
                <w:color w:val="000000"/>
                <w:sz w:val="20"/>
              </w:rPr>
              <w:t>24'21,8"ш.б.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w:t>
            </w:r>
            <w:r>
              <w:rPr>
                <w:rFonts w:ascii="Times New Roman"/>
                <w:b w:val="false"/>
                <w:i w:val="false"/>
                <w:color w:val="000000"/>
                <w:vertAlign w:val="superscript"/>
              </w:rPr>
              <w:t>0</w:t>
            </w:r>
            <w:r>
              <w:rPr>
                <w:rFonts w:ascii="Times New Roman"/>
                <w:b w:val="false"/>
                <w:i w:val="false"/>
                <w:color w:val="000000"/>
                <w:sz w:val="20"/>
              </w:rPr>
              <w:t>37'02,2"с.е.</w:t>
            </w:r>
          </w:p>
          <w:p>
            <w:pPr>
              <w:spacing w:after="20"/>
              <w:ind w:left="20"/>
              <w:jc w:val="both"/>
            </w:pPr>
            <w:r>
              <w:rPr>
                <w:rFonts w:ascii="Times New Roman"/>
                <w:b w:val="false"/>
                <w:i w:val="false"/>
                <w:color w:val="000000"/>
                <w:sz w:val="20"/>
              </w:rPr>
              <w:t>
54</w:t>
            </w:r>
            <w:r>
              <w:rPr>
                <w:rFonts w:ascii="Times New Roman"/>
                <w:b w:val="false"/>
                <w:i w:val="false"/>
                <w:color w:val="000000"/>
                <w:vertAlign w:val="superscript"/>
              </w:rPr>
              <w:t>0</w:t>
            </w:r>
            <w:r>
              <w:rPr>
                <w:rFonts w:ascii="Times New Roman"/>
                <w:b w:val="false"/>
                <w:i w:val="false"/>
                <w:color w:val="000000"/>
                <w:sz w:val="20"/>
              </w:rPr>
              <w:t>24'28,3"ш.б.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w:t>
            </w:r>
            <w:r>
              <w:rPr>
                <w:rFonts w:ascii="Times New Roman"/>
                <w:b w:val="false"/>
                <w:i w:val="false"/>
                <w:color w:val="000000"/>
                <w:vertAlign w:val="superscript"/>
              </w:rPr>
              <w:t>0</w:t>
            </w:r>
            <w:r>
              <w:rPr>
                <w:rFonts w:ascii="Times New Roman"/>
                <w:b w:val="false"/>
                <w:i w:val="false"/>
                <w:color w:val="000000"/>
                <w:sz w:val="20"/>
              </w:rPr>
              <w:t>37'08,5"с.е.</w:t>
            </w:r>
          </w:p>
          <w:p>
            <w:pPr>
              <w:spacing w:after="20"/>
              <w:ind w:left="20"/>
              <w:jc w:val="both"/>
            </w:pPr>
            <w:r>
              <w:rPr>
                <w:rFonts w:ascii="Times New Roman"/>
                <w:b w:val="false"/>
                <w:i w:val="false"/>
                <w:color w:val="000000"/>
                <w:sz w:val="20"/>
              </w:rPr>
              <w:t>
54</w:t>
            </w:r>
            <w:r>
              <w:rPr>
                <w:rFonts w:ascii="Times New Roman"/>
                <w:b w:val="false"/>
                <w:i w:val="false"/>
                <w:color w:val="000000"/>
                <w:vertAlign w:val="superscript"/>
              </w:rPr>
              <w:t>0</w:t>
            </w:r>
            <w:r>
              <w:rPr>
                <w:rFonts w:ascii="Times New Roman"/>
                <w:b w:val="false"/>
                <w:i w:val="false"/>
                <w:color w:val="000000"/>
                <w:sz w:val="20"/>
              </w:rPr>
              <w:t>24'37,1"ш.б.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