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fe7c" w14:textId="b69f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2015 жылғы 8 қыркүйектегі № 755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134-бабы</w:t>
      </w:r>
      <w:r>
        <w:br/>
      </w:r>
      <w:r>
        <w:rPr>
          <w:rFonts w:ascii="Times New Roman"/>
          <w:b w:val="false"/>
          <w:i w:val="false"/>
          <w:color w:val="000000"/>
          <w:sz w:val="28"/>
        </w:rPr>
        <w:t>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 қайта құру жолымен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қазыналық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Ұлттық экономика министрлігінің Тұтынушылардың құқықтарын қорғау комитеті кәсіпорынға қатысты мемлекеттік басқарудың тиісті саласына (аясына) басшылық ету жөніндегі уәкілетті орган; </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денсаулық сақтау саласындағы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экономика министрлігінің Тұтынушылардың құқықтарын қорғау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 бекітуге енгізсін;</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республикалық мемлекеттік кәсіпорындарының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22-жол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