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f650" w14:textId="2bdf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 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тізбесін бекіту туралы" Қазақстан Республикасы Үкіметінің 2009 жылғы 26 қаңтардағы № 56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сәуірдегі № 342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"Импорты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 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тізбесін бекіту туралы" Қазақстан Республикасы Үкіметінің 2009 жылғы 26 қаңтардағы № 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8, 24-құжат)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импорты қосылған құн салығынан босатылатын кез келген нысандағы дәрілік заттардың, оның ішінде дәрілік субстанциялардың;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материалдардың, жабдықтар мен жинақтаушылардың </w:t>
      </w:r>
      <w:r>
        <w:rPr>
          <w:rFonts w:ascii="Times New Roman"/>
          <w:b w:val="false"/>
          <w:i w:val="false"/>
          <w:color w:val="000000"/>
          <w:sz w:val="28"/>
        </w:rPr>
        <w:t>тізбесінде:</w:t>
      </w:r>
    </w:p>
    <w:bookmarkEnd w:id="4"/>
    <w:bookmarkStart w:name="z8" w:id="5"/>
    <w:p>
      <w:pPr>
        <w:spacing w:after="0"/>
        <w:ind w:left="0"/>
        <w:jc w:val="both"/>
      </w:pPr>
      <w:r>
        <w:rPr>
          <w:rFonts w:ascii="Times New Roman"/>
          <w:b w:val="false"/>
          <w:i w:val="false"/>
          <w:color w:val="000000"/>
          <w:sz w:val="28"/>
        </w:rPr>
        <w:t xml:space="preserve">
      тақырыбы мынадай редакцияда жазылсын: </w:t>
      </w:r>
    </w:p>
    <w:bookmarkEnd w:id="5"/>
    <w:bookmarkStart w:name="z9" w:id="6"/>
    <w:p>
      <w:pPr>
        <w:spacing w:after="0"/>
        <w:ind w:left="0"/>
        <w:jc w:val="left"/>
      </w:pPr>
      <w:r>
        <w:rPr>
          <w:rFonts w:ascii="Times New Roman"/>
          <w:b/>
          <w:i w:val="false"/>
          <w:color w:val="000000"/>
        </w:rPr>
        <w:t xml:space="preserve">  "Импорты қосылған құн салығынан босатылатын Қазақстан Республикасының дәрілік заттардың, медициналық мақсаттағы бұйымдар мен медициналық техниканың мемлекеттік тізілімінде тіркелген және денсаулық сақтау саласындағы уәкілетті орган берген қорытынды (рұқсат құжаты) негізінде импортталатын, Қазақстан Республикасы дәрілік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ветеринария саласында пайдаланылатын (қолданылатын) дәрілік заттардың; ветеринариялық мақсаттағы бұйымдар мен ветеринариялық техниканың, мүгедектерге берілетін протездік-ортопедиялық бұйымдарды, арнайы қозғалыс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w:t>
      </w:r>
      <w:r>
        <w:rPr>
          <w:rFonts w:ascii="Times New Roman"/>
          <w:b/>
          <w:i w:val="false"/>
          <w:color w:val="000000"/>
        </w:rPr>
        <w:t>тізбесінде</w:t>
      </w:r>
      <w:r>
        <w:rPr>
          <w:rFonts w:ascii="Times New Roman"/>
          <w:b/>
          <w:i w:val="false"/>
          <w:color w:val="000000"/>
        </w:rPr>
        <w:t>:</w:t>
      </w:r>
    </w:p>
    <w:bookmarkEnd w:id="6"/>
    <w:bookmarkStart w:name="z10"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1"/>
        <w:gridCol w:w="3069"/>
      </w:tblGrid>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9-дан</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 пайдаланылатын зарарсыздандырылған қораптар және ұқсас бұйымдар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1"/>
        <w:gridCol w:w="3069"/>
      </w:tblGrid>
      <w:tr>
        <w:trPr>
          <w:trHeight w:val="30" w:hRule="atLeast"/>
        </w:trPr>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8-ден</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 пайдаланылатын зарарсыздандырылған қораптар және ұқсас бұйымдар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6638"/>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90-ден</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олардың бөлшектері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7"/>
        <w:gridCol w:w="6793"/>
      </w:tblGrid>
      <w:tr>
        <w:trPr>
          <w:trHeight w:val="30" w:hRule="atLeast"/>
        </w:trPr>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90-ден</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олардың бөлшектері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көрсетілген тізбеге мынадай мазмұндағы ескертпемен толықтырылсын:</w:t>
      </w:r>
    </w:p>
    <w:bookmarkEnd w:id="11"/>
    <w:bookmarkStart w:name="z15" w:id="12"/>
    <w:p>
      <w:pPr>
        <w:spacing w:after="0"/>
        <w:ind w:left="0"/>
        <w:jc w:val="left"/>
      </w:pPr>
      <w:r>
        <w:rPr>
          <w:rFonts w:ascii="Times New Roman"/>
          <w:b/>
          <w:i w:val="false"/>
          <w:color w:val="000000"/>
        </w:rPr>
        <w:t xml:space="preserve"> "* Ескертпе: Қазақстан Республикасының дәрілік заттардың, медициналық мақсаттағы бұйымдар мен медициналық техниканың мемлекеттік тізілімінде тіркелген дәрілік заттар, медициналық мақсаттағы бұйымдар мен медициналық техника туралы ақпарат денсаулық сақтау саласындағы уәкілетті органның веб-сайтында орналастырылады.".</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