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ac60" w14:textId="6c5a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2015 жылғы 20 сәуірдегі № 244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штат санының </w:t>
      </w:r>
      <w:r>
        <w:rPr>
          <w:rFonts w:ascii="Times New Roman"/>
          <w:b w:val="false"/>
          <w:i w:val="false"/>
          <w:color w:val="000000"/>
          <w:sz w:val="28"/>
        </w:rPr>
        <w:t>лимиттерінде:</w:t>
      </w:r>
      <w:r>
        <w:br/>
      </w:r>
      <w:r>
        <w:rPr>
          <w:rFonts w:ascii="Times New Roman"/>
          <w:b w:val="false"/>
          <w:i w:val="false"/>
          <w:color w:val="000000"/>
          <w:sz w:val="28"/>
        </w:rPr>
        <w:t>
</w:t>
      </w:r>
      <w:r>
        <w:rPr>
          <w:rFonts w:ascii="Times New Roman"/>
          <w:b w:val="false"/>
          <w:i w:val="false"/>
          <w:color w:val="000000"/>
          <w:sz w:val="28"/>
        </w:rPr>
        <w:t>
      2-бөлім мынадай редакцияда жазылсын: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1652"/>
        <w:gridCol w:w="1365"/>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 оның ведомстволарын қоса алғанда, оның ішінде: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елдердегі мекемелер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