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bc50" w14:textId="36bb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"Тұтынушыларға және өзге де мүдделi тұлғаларға реттелiп көрсетiлетiн қызметтерді (тауарларды, жұмыстарды) ұсыну жөнiндегi табиғи монополия субъектiсiнiң қызметi туралы жыл сайынғы есептi өткiзу қағидаларын бекіту туралы" 2011 жылғы 31 қазандағы № 1246 және "Мемлекеттік мүлікті сенімгерлік басқаруға беру қағидаларын бекіту туралы" 2014 жылғы 4 ақпандағы № 46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10 сәуірдегі № 216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«Тұтынушыларға және өзге де мүдделi тұлғаларға реттелiп көрсетiлетiн қызметтерді (тауарларды, жұмыстарды) ұсыну жөнiндегi табиғи монополия субъектiсiнiң қызметi туралы жыл сайынғы есептi өткiзу қағидаларын бекіту туралы» Қазақстан Республикасы Үкіметінің 2011 жылғы 31 қазандағы № 1246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2011 ж., № 59, 845-құжат);</w:t>
      </w:r>
      <w:r>
        <w:br/>
      </w:r>
      <w:r>
        <w:rPr>
          <w:rFonts w:ascii="Times New Roman"/>
          <w:b w:val="false"/>
          <w:i w:val="false"/>
          <w:color w:val="000000"/>
          <w:sz w:val="28"/>
        </w:rPr>
        <w:t>
</w:t>
      </w:r>
      <w:r>
        <w:rPr>
          <w:rFonts w:ascii="Times New Roman"/>
          <w:b w:val="false"/>
          <w:i w:val="false"/>
          <w:color w:val="000000"/>
          <w:sz w:val="28"/>
        </w:rPr>
        <w:t>
      2) «Мемлекеттік мүлікті сенімгерлік басқаруға беру қағидаларын бекіту туралы» Қазақстан Республикасы Үкіметінің 2014 жылғы 4 ақпандағы № 46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2014 ж., № 4, 33-құжат) күші жойылды деп танылсын.</w:t>
      </w:r>
      <w:r>
        <w:br/>
      </w:r>
      <w:r>
        <w:rPr>
          <w:rFonts w:ascii="Times New Roman"/>
          <w:b w:val="false"/>
          <w:i w:val="false"/>
          <w:color w:val="000000"/>
          <w:sz w:val="28"/>
        </w:rPr>
        <w:t>
      2. Осы қаулы алғашқы ресми жарияланған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