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19a7" w14:textId="2d01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7 қазандағы № 1059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«2014 - 2016 жылдарға арналған республикалық бюджет туралы» 2013 жылғы 3 желтоқсандағы Қазақстан Республикасының Заңына,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 Ұлттық министрлігіне Шығыс Қазақстан обылысының Семей, Курчатов, Серебрянск қалаларында, Зырян ауданының Жаңа Бұқтырма, Глубокое ауданының Глубокое кенттерінде, Катон-Қарағай ауданының Үлкен Нарын ауылында белгіленген қуаты 100 Гкал-сағатқа дейінгі қазандықтарға нормативтік отын қорын сатып алуға Шығыс Қазақстан облысының әкімдігіне ағымдағы нысаналы трансферттер түрінде аудару үшін 2014 жылға арналған республикалық бюджетте көзделген Қазақстан Республикасы Үкіметінің шұғыл шығындарға арналған резервінен 549034000 (бес жүз қырық тоғыз миллион отыз төрт мың) теңге сомасында қаражат бөлiнсiн.</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 Қаржы министрлігі бөлінген қаражаттың нысаналы пайдаланылуын бақылауды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Шығыс Қазақстан облысының әкімі 2014 жылғы 1 желтоқсанға дейінгі мерзімде Қазақстан Республикасы Ұлтық экономика министрлігіне бөлінген қаражаттың нысаналы пайдаланылуы жөнінде есеп берсін.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w:t>
            </w:r>
            <w:r>
              <w:rPr>
                <w:rFonts w:ascii="Times New Roman"/>
                <w:b w:val="false"/>
                <w:i/>
                <w:color w:val="000000"/>
                <w:sz w:val="20"/>
              </w:rPr>
              <w:t>Премьер Министрі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