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e13f" w14:textId="9b1e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мен өндіру кезінде жер қойнауын ұтымды әрі кешенді пайдалану жөніндегі бірыңғай қағиданы бекіту туралы" Қазақстан Республикасы Үкіметінің 2011 жылғы 10 ақпандағы № 123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1047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«Пайдалы қазбаларды барлау мен өндіру кезінде жер қойнауын ұтымды әрі кешенді пайдалану жөніндегі бірыңғай қағиданы бекіту туралы» Қазақстан Республикасы Үкіметінің 2011 жылғы 10 ақпандағы № 123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19, 234-құжат)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Пайдалы қазбаларды барлау мен өндіру кезінде жер қойнауын ұтымды әрі кешенді пайдалану жөніндегі бірыңғай </w:t>
      </w:r>
      <w:r>
        <w:rPr>
          <w:rFonts w:ascii="Times New Roman"/>
          <w:b w:val="false"/>
          <w:i w:val="false"/>
          <w:color w:val="000000"/>
          <w:sz w:val="28"/>
        </w:rPr>
        <w:t>қағидада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Жер қойнауын пайдаланушының көмірсутекті таңдап алудың жобалау құжаттарындағы нормаларды бұзуына жол берілмейді. Нақты жылдық өндіру көлемі жобадағы көрсеткіштен он пайыздан артық болмауы тиіс және бұл жағдайда ұңғымалардың жобадағы жұмыс тәртібін сақтау және жобалау құжаттарындағы пайдалану объектісін игеру бойынша мыналарды орындау шарты қойылады:</w:t>
      </w:r>
      <w:r>
        <w:br/>
      </w:r>
      <w:r>
        <w:rPr>
          <w:rFonts w:ascii="Times New Roman"/>
          <w:b w:val="false"/>
          <w:i w:val="false"/>
          <w:color w:val="000000"/>
          <w:sz w:val="28"/>
        </w:rPr>
        <w:t>
</w:t>
      </w:r>
      <w:r>
        <w:rPr>
          <w:rFonts w:ascii="Times New Roman"/>
          <w:b w:val="false"/>
          <w:i w:val="false"/>
          <w:color w:val="000000"/>
          <w:sz w:val="28"/>
        </w:rPr>
        <w:t>
      пайдалану қорын бұрғылау жөніндегі бағдарламалар;</w:t>
      </w:r>
      <w:r>
        <w:br/>
      </w:r>
      <w:r>
        <w:rPr>
          <w:rFonts w:ascii="Times New Roman"/>
          <w:b w:val="false"/>
          <w:i w:val="false"/>
          <w:color w:val="000000"/>
          <w:sz w:val="28"/>
        </w:rPr>
        <w:t>
</w:t>
      </w:r>
      <w:r>
        <w:rPr>
          <w:rFonts w:ascii="Times New Roman"/>
          <w:b w:val="false"/>
          <w:i w:val="false"/>
          <w:color w:val="000000"/>
          <w:sz w:val="28"/>
        </w:rPr>
        <w:t>
      агентті айдау көлемі мен құрамы;</w:t>
      </w:r>
      <w:r>
        <w:br/>
      </w:r>
      <w:r>
        <w:rPr>
          <w:rFonts w:ascii="Times New Roman"/>
          <w:b w:val="false"/>
          <w:i w:val="false"/>
          <w:color w:val="000000"/>
          <w:sz w:val="28"/>
        </w:rPr>
        <w:t>
</w:t>
      </w:r>
      <w:r>
        <w:rPr>
          <w:rFonts w:ascii="Times New Roman"/>
          <w:b w:val="false"/>
          <w:i w:val="false"/>
          <w:color w:val="000000"/>
          <w:sz w:val="28"/>
        </w:rPr>
        <w:t>
      өндіруді қарқындату жөніндегі іс-шаралар.».</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