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24ca" w14:textId="7e62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объектiлер меншiк иелерiнiң (құқық иеленушiлердiң) оңалтушы (конкурстық) басқарушылардың стратегиялық объектіге ауыртпалық салу не иелiктен шығару туралы өтiнiштерiн қарау қағидаларын бекіту туралы" Қазақстан Республикасы Үкіметінің 2011 жылғы 28 қазандағы № 1223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868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Стратегиялық объектiлер меншiк иелерiнiң (құқық иеленушiлердiң) оңалтушы (конкурстық) басқарушылардың стратегиялық объектіге ауыртпалық салу не иелiктен шығару туралы өтiнiштерiн қарау қағидаларын бекіту туралы» Қазақстан Республикасы Үкіметінің 2011 жылғы 28 қазандағы № 1223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59, 834-құжат)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«Стратегиялық объектiлер меншiк иелерiнiң (құқық иеленушiлердiң) оңалтушы (банкроттықты) басқарушылардың стратегиялық объектіге ауыртпалық салу не иелiктен шығару туралы өтiнiштерiн қарау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Стратегиялық объектiлер меншiк иелерiнiң (құқық иеленушiлердiң) оңалтушы (банкроттықты) басқарушылардың стратегиялық объектіге ауыртпалық салу не иелiктен шығару туралы өтiнiштерiн қарау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Стратегиялық объектiлер меншiк иелерiнiң (құқық иеленушiлердiң), оңалтушы (конкурстық) басқарушылардың стратегиялық объектіге ауыртпалық салу не иелiктен шығару туралы өтiнiштерiн қарау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«Стратегиялық объектiлер меншiк иелерiнiң (құқық иеленушiлердiң), оңалтушы (банкроттықты) басқарушылардың стратегиялық объектіге ауыртпалық салу не иелiктен шығару туралы өтiнiштерiн қарау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Стратегиялық объектiлер меншiк иелерiнiң (құқық иеленушiлердiң) оңалтушы (банкроттықты) басқарушылардың стратегиялық объектіге ауыртпалық салу не иелiктен шығару туралы өтiнiштерiн қарау қағидалары (бұдан әрі – Қағидалар)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«Мемлекеттiк мүлiк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стратегиялық объектiлердің меншiк иелерiнiң (құқық иеленушiлердiң), оңалтушы (банкроттықты) басқарушылардың стратегиялық объектіге ауыртпалық салу не иелiктен шығару туралы өтiнiштерiн қарау тәртібін айқындайды.»;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банкроттықты басқарушы – банкроттық рәсімін жүзеге асыру үшін оңалту және банкроттық саласындағы уәкілетті орган тағайындаған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Стратегиялық объектiлер меншiк иелерiнiң (құқық иеленушiлердiң), оңалтушы (банкроттықты) басқарушылардың стратегиялық объектіге ауыртпалық салу не иелiктен шығару туралы өтiнiштерiн қарау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Стратегиялық объектілерге ауыртпалық салуға не оларды иеліктен шығаруға рұқсат алу үшін Стратегиялық объектiнің меншiк иесі (құқық иеленушi), оңалтушы (банкроттықты) басқарушы не кепіл ұстаушы уәкілетті органға осы Қағидалардың қосымшасына сәйкес нысан бойынша өтінішті және тізбесі Заңның 188-бабының </w:t>
      </w:r>
      <w:r>
        <w:rPr>
          <w:rFonts w:ascii="Times New Roman"/>
          <w:b w:val="false"/>
          <w:i w:val="false"/>
          <w:color w:val="000000"/>
          <w:sz w:val="28"/>
        </w:rPr>
        <w:t>1</w:t>
      </w:r>
      <w:r>
        <w:rPr>
          <w:rFonts w:ascii="Times New Roman"/>
          <w:b w:val="false"/>
          <w:i w:val="false"/>
          <w:color w:val="000000"/>
          <w:sz w:val="28"/>
        </w:rPr>
        <w:t xml:space="preserve"> және/немесе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жібереді.»;</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қосымшаның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«Стратегиялық объектiлер меншiк иелерiнiң (құқық иеленушiлердiң) оңалтушы (банкроттықты) басқарушылардың стратегиялық объектіге ауыртпалық салу не иелiктен шығару туралы өтiнiштерiн қарау қағидаларына қосымша».</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