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f7c5" w14:textId="4b0f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әлемнің ең дамыған 30 мемлекетінің қатарына кіруі жөніндегі тұжырымдаманы іске асыру бойынша 2014 - 2020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30 маусымдағы № 752 қаулысы.</w:t>
      </w:r>
    </w:p>
    <w:p>
      <w:pPr>
        <w:spacing w:after="0"/>
        <w:ind w:left="0"/>
        <w:jc w:val="both"/>
      </w:pPr>
      <w:bookmarkStart w:name="z1" w:id="0"/>
      <w:r>
        <w:rPr>
          <w:rFonts w:ascii="Times New Roman"/>
          <w:b w:val="false"/>
          <w:i w:val="false"/>
          <w:color w:val="000000"/>
          <w:sz w:val="28"/>
        </w:rPr>
        <w:t xml:space="preserve">
      "Қазақстанның әлемнің ең дамыған 30 мемлекетінің қатарына кіруі жөніндегі тұжырымдама туралы" Қазақстан Республикасы Президентінің 2014 жылғы 17 қаңтардағы № 732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Қазақстанның әлемнің ең дамыған 30 мемлекетінің қатарына кіруі жөніндегі тұжырымдаманы іске асыру бойынша 2014 – 2020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сондай-ақ Жоспардың орындалуына жауапты мүдделі ұйымдар:</w:t>
      </w:r>
    </w:p>
    <w:bookmarkEnd w:id="2"/>
    <w:bookmarkStart w:name="z4" w:id="3"/>
    <w:p>
      <w:pPr>
        <w:spacing w:after="0"/>
        <w:ind w:left="0"/>
        <w:jc w:val="both"/>
      </w:pPr>
      <w:r>
        <w:rPr>
          <w:rFonts w:ascii="Times New Roman"/>
          <w:b w:val="false"/>
          <w:i w:val="false"/>
          <w:color w:val="000000"/>
          <w:sz w:val="28"/>
        </w:rPr>
        <w:t>
      1) Жоспарды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жылдың қорытындысы бойынша, есепті жылдан кейінгі жылдың 1 ақпанынан кешіктірмей Қазақстан Республикасының Ұлттық экономика министрлігіне оның іске асырылу барысы туралы ақпарат берсін.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27.01.2017 </w:t>
      </w:r>
      <w:r>
        <w:rPr>
          <w:rFonts w:ascii="Times New Roman"/>
          <w:b w:val="false"/>
          <w:i w:val="false"/>
          <w:color w:val="000000"/>
          <w:sz w:val="28"/>
        </w:rPr>
        <w:t>№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есепті жылдан кейінгі жылдың 20 ақпанынан кешіктірмей Қазақстан Республикасының Үкіметіне Жоспардың іске асырылу барысы туралы жиынтық ақпарат берсін.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27.01.2017 </w:t>
      </w:r>
      <w:r>
        <w:rPr>
          <w:rFonts w:ascii="Times New Roman"/>
          <w:b w:val="false"/>
          <w:i w:val="false"/>
          <w:color w:val="000000"/>
          <w:sz w:val="28"/>
        </w:rPr>
        <w:t>№ 22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16.06.2017 </w:t>
      </w:r>
      <w:r>
        <w:rPr>
          <w:rFonts w:ascii="Times New Roman"/>
          <w:b w:val="false"/>
          <w:i w:val="false"/>
          <w:color w:val="000000"/>
          <w:sz w:val="28"/>
        </w:rPr>
        <w:t>№ 374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30 маусымдағы</w:t>
            </w:r>
            <w:r>
              <w:br/>
            </w:r>
            <w:r>
              <w:rPr>
                <w:rFonts w:ascii="Times New Roman"/>
                <w:b w:val="false"/>
                <w:i w:val="false"/>
                <w:color w:val="000000"/>
                <w:sz w:val="20"/>
              </w:rPr>
              <w:t>№ 752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Қазақстанның әлемнің ең дамыған 30 мемлекетінің қатарына кіруі жөніндегі тұжырымдаманы іске асыру бойынша 2014 – 2020 жылдарға арналған іс-шаралар жоспары</w:t>
      </w:r>
    </w:p>
    <w:bookmarkEnd w:id="7"/>
    <w:p>
      <w:pPr>
        <w:spacing w:after="0"/>
        <w:ind w:left="0"/>
        <w:jc w:val="both"/>
      </w:pPr>
      <w:r>
        <w:rPr>
          <w:rFonts w:ascii="Times New Roman"/>
          <w:b w:val="false"/>
          <w:i w:val="false"/>
          <w:color w:val="ff0000"/>
          <w:sz w:val="28"/>
        </w:rPr>
        <w:t xml:space="preserve">
      Ескерту.  Жоспар жаңа редакцияда – ҚР Үкіметінің 27.01.2017 </w:t>
      </w:r>
      <w:r>
        <w:rPr>
          <w:rFonts w:ascii="Times New Roman"/>
          <w:b w:val="false"/>
          <w:i w:val="false"/>
          <w:color w:val="ff0000"/>
          <w:sz w:val="28"/>
        </w:rPr>
        <w:t>№ 22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2835"/>
        <w:gridCol w:w="1876"/>
        <w:gridCol w:w="1876"/>
        <w:gridCol w:w="1876"/>
        <w:gridCol w:w="1876"/>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701"/>
        <w:gridCol w:w="677"/>
        <w:gridCol w:w="2460"/>
        <w:gridCol w:w="1760"/>
        <w:gridCol w:w="249"/>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1. Адами капиталды дамыту</w:t>
            </w:r>
          </w:p>
          <w:bookmarkEnd w:id="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1. Білім беруді және бірегей қазақстандық мәдениетті дамыту</w:t>
            </w:r>
          </w:p>
          <w:bookmarkEnd w:id="9"/>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1.</w:t>
            </w:r>
          </w:p>
          <w:bookmarkEnd w:id="10"/>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бағдарламасын экономиканың ғылымды көп қажет ететін жоғары технологиялық салалары үшін мамандар даярлауға бағдарлау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ҰЭМ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2.</w:t>
            </w:r>
          </w:p>
          <w:bookmarkEnd w:id="11"/>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елдегі жоғары технологиялық стартаптарда білім алушылардың тағылымдамаларын ұйымдастыру мәселесін қарау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3.</w:t>
            </w:r>
          </w:p>
          <w:bookmarkEnd w:id="12"/>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театр, музыка, көркемөнер және әдебиет салаларында сапалы жаңа мәдени өнімдер жасауды ынталандыру жөнінде шаралар қабылдау</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4.</w:t>
            </w:r>
          </w:p>
          <w:bookmarkEnd w:id="13"/>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одан әрі дамыту жөніндегі шаралар кешенін іске асыру. 2020 жылға қарай инклюзивті білім беру үшін жағдайлар жасаған мектептердің үлесі 70 %-ды құрауы тиіс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2. Халықтың денсаулығын жақсарту</w:t>
            </w:r>
          </w:p>
          <w:bookmarkEnd w:id="14"/>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5.</w:t>
            </w:r>
          </w:p>
          <w:bookmarkEnd w:id="15"/>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субъектілерінің GхP (GLP, GCP, GMP, GDP, GPP, GVP) тиісті фармацевтикалық практикаларын енгізуіне дайындық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2016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6.</w:t>
            </w:r>
          </w:p>
          <w:bookmarkEnd w:id="16"/>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саласында белсенді ынтымақтастықты қамтамасыз ету үшін РIC/S фармацевтикалық инспекциялық органдардың халықаралық ұйымына кіру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7.</w:t>
            </w:r>
          </w:p>
          <w:bookmarkEnd w:id="17"/>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медициналық ЖОО-лардың зерттеу университеттері мәртебесін алуы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БҒМ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8.</w:t>
            </w:r>
          </w:p>
          <w:bookmarkEnd w:id="18"/>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мейіргер ісі мамандарын даярлау жүйесін (ТжКБ, қолданбалы бакалавриат, бакалавриат, магистратура, PhD докторантурасы) Еуропалық директиваларға сәйкес келтіру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БҒМ, облыстардың, Астана және Алматы қалаларының әкімдіктері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3. Халықты әлеуметтік қорғау жүйесін жетілдіру</w:t>
            </w:r>
          </w:p>
          <w:bookmarkEnd w:id="1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Халықтың осал топтарын әлеуметтік қорғауды қамтамасыз ету</w:t>
            </w:r>
          </w:p>
          <w:bookmarkEnd w:id="20"/>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9.</w:t>
            </w:r>
          </w:p>
          <w:bookmarkEnd w:id="21"/>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өзін-өзі жұмыспен арасында, жұмыссыз және аз қамтылған топтары арасында кәсіптік бағдарлау мен мамандық таңдауда көмек көрсету бойынша шаралар қабылдау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10.</w:t>
            </w:r>
          </w:p>
          <w:bookmarkEnd w:id="22"/>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қажеттіліктерін ескере отырып, орта, техникалық және кәсіптік, орта білімнен кейінгі, жоғары білім берудің бағдарламаларын қайта қарау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ДСӘДМ, облыстардың, Астана және Алматы қалаларының әкімдіктері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Еңбек қатынастарын жетілдіру</w:t>
            </w:r>
          </w:p>
          <w:bookmarkEnd w:id="23"/>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11.</w:t>
            </w:r>
          </w:p>
          <w:bookmarkEnd w:id="24"/>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және еңбек гигиенасына жәрдемдесетін негіздер туралы конвенцияны (187-Конвенция) ратификациялауды қамтамасыз ету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12.</w:t>
            </w:r>
          </w:p>
          <w:bookmarkEnd w:id="25"/>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еңбек қатынастары және еңбекті қорғау мәселелері бойынша өзгерістер мен толықтырулар енгізу туралы" Қазақстан Республикасының Заңы жобасының тұжырымдамасын әзірлеу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қызметi мәселелерi жөніндегі ВАК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2. Институционалдық ортаны жетілдіру</w:t>
            </w:r>
          </w:p>
          <w:bookmarkEnd w:id="2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1. Басқару жүйесін және сот-құқық қорғау жүйесін жаңғырту</w:t>
            </w:r>
          </w:p>
          <w:bookmarkEnd w:id="2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Сот жүйесін жетілдіру</w:t>
            </w:r>
          </w:p>
          <w:bookmarkEnd w:id="28"/>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13.</w:t>
            </w:r>
          </w:p>
          <w:bookmarkEnd w:id="29"/>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үстемдігін нығайту, сондай-ақ ұлттық заңнамаға сот ісін жүргізудің халықаралық қағидаттарын одан әрі имплементациялау бойынша ұсыныстар енгізу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(жинақтау), БП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14.</w:t>
            </w:r>
          </w:p>
          <w:bookmarkEnd w:id="30"/>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инстанциядағы соттардың рөлін күшейту, соттарға құқықтан тыс ықпал етуге қарсы іс-қимыл жасау, оларға деген сенімді арттыру бойынша шаралар қабылдау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(жинақтау), БП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15.</w:t>
            </w:r>
          </w:p>
          <w:bookmarkEnd w:id="31"/>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 судьялар институтын енгізу мәселесін, сондай-ақ бір сотта бірнеше сот инстанцияларының жұмыс істеуі мәселесін зерделеу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ақпан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16.</w:t>
            </w:r>
          </w:p>
          <w:bookmarkEnd w:id="32"/>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Бітімгерлік рәсімдерін және медиацияны қолдана отырып, дауларды соттан тыс реттеу институттарының қызметін жетілдіру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17.</w:t>
            </w:r>
          </w:p>
          <w:bookmarkEnd w:id="33"/>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қылмыстық сот ісін жүргізуде сот рәсімдерін оңайлату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Елдегі сыбайлас жемқорлық деңгейін төмендету</w:t>
            </w:r>
          </w:p>
          <w:bookmarkEnd w:id="34"/>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18.</w:t>
            </w:r>
          </w:p>
          <w:bookmarkEnd w:id="35"/>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Стамбул сыбайлас жемқорлыққа қарсы күрес жөніндегі іс-қимыл жоспарын мониторингтеудің үшінші раундының ұсынымдарын ескере отырып, сыбайлас жемқорлыққа қарсы іс-қимыл саласындағы заңнаманы одан әрі жетілдіру бойынша шаралар қабылдау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ЭСЖКА (келісім бойынша) (жинақтау), БП (келісім бойынша), ІІМ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2. Шағын және орта бизнесті дамыту</w:t>
            </w:r>
          </w:p>
          <w:bookmarkEnd w:id="36"/>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19.</w:t>
            </w:r>
          </w:p>
          <w:bookmarkEnd w:id="37"/>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университеттермен әріптестікті кеңейтуге назар аудара отырып, сондай-ақ кәсіпкерлік қызметтің практикасын қамтамасыз ету жолымен ЖОО-да іскерлік білім беру сапасын жақсарту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"Атамекен" ҰКП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2017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3. Зияткерлік меншікті қорғау жүйесін жетілдіру</w:t>
            </w:r>
          </w:p>
          <w:bookmarkEnd w:id="38"/>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20.</w:t>
            </w:r>
          </w:p>
          <w:bookmarkEnd w:id="39"/>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электрондық түрде бергені үшін патенттік баж мөлшерін азайтумен бір мезгілде электрондық үкімет порталы арқылы патенттер алуға өтінімдерді электрондық түрде беру мүмкіндігін қамтамасыз ету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(жинақтау), БАА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3. Ғылымды көп қажет ететін экономика салаларын дамыту</w:t>
            </w:r>
          </w:p>
          <w:bookmarkEnd w:id="4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1. Өнеркәсіптің базалық салаларын дамыту</w:t>
            </w:r>
          </w:p>
          <w:bookmarkEnd w:id="41"/>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21.</w:t>
            </w:r>
          </w:p>
          <w:bookmarkEnd w:id="42"/>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компанияларды, ұлттық ғылыми-зерттеу институттарын және шетелдік мердігер компанияларды біріктіретін мұнай саласындағы "экожүйелер" құру үшін шаралар қабылдау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"ҚазМұнайГаз" ҰК" АҚ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22.</w:t>
            </w:r>
          </w:p>
          <w:bookmarkEnd w:id="43"/>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мұнай-газ саласындағы инженерлік-техникалық персоналды озық халықаралық тәжірибемен және инновациялық техникалық-технологиялық шешімдермен ауқымды таныстырудың коммуникациялық алаңдарын қалыптастыру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2018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2. Өңдеу өнеркәсібін дамыту</w:t>
            </w:r>
          </w:p>
          <w:bookmarkEnd w:id="44"/>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23.</w:t>
            </w:r>
          </w:p>
          <w:bookmarkEnd w:id="45"/>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нарықтарындағы техникалық кедергілерді жою мақсатында стандарттау жөніндегі халықаралық техникалық комитеттердің, стандарттау жөніндегі мемлекетаралық және өңірлік ұйымдардың жұмысына белсенді қатысуды қамтамасыз ету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3. Жоғары технологиялық агроөнеркәсіптік кешен құру</w:t>
            </w:r>
          </w:p>
          <w:bookmarkEnd w:id="46"/>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24.</w:t>
            </w:r>
          </w:p>
          <w:bookmarkEnd w:id="47"/>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әлемнің ең дамыған 30 мемлекетінің қатарына кіруі жөніндегі тұжырымдаманың ережелерін ескере отырып, "Қазақстан Республикасында агроөнеркәсіптік кешенді дамыту жөніндегі 2013 – 2020 жылдарға арналған "Агробизнес-2020" бағдарламасын бекіту туралы" Қазақстан Республикасы Үкіметінің 2013 жылғы 18 ақпандағы № 151 қаулысына өзгеріс енгізу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ЭБЖМ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маусым</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4. Көрсетілетін қызметтер секторын дамыту</w:t>
            </w:r>
          </w:p>
          <w:bookmarkEnd w:id="48"/>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25.</w:t>
            </w:r>
          </w:p>
          <w:bookmarkEnd w:id="49"/>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көрсетілетін қызметтер провайдерлерінің мүмкіндіктерін, оның ішінде мультимодальды тасымалдар мәселелері бойынша нормативтік құқықтық базаны жетілдіру есебінен кеңейту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"ҚТЖ" ҰК" АҚ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26.</w:t>
            </w:r>
          </w:p>
          <w:bookmarkEnd w:id="50"/>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ғарыш қызметі мәселелері бойынша өзгерістер мен толықтырулар енгізу туралы" Қазақстан Республикасының Заңы жобасының тұжырымдамасын әзірлеу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қызметі мәселелері жөніндегі ВАК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ҰҒА (жинақтау),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w:t>
            </w:r>
            <w:r>
              <w:br/>
            </w:r>
            <w:r>
              <w:rPr>
                <w:rFonts w:ascii="Times New Roman"/>
                <w:b w:val="false"/>
                <w:i w:val="false"/>
                <w:color w:val="000000"/>
                <w:sz w:val="20"/>
              </w:rPr>
              <w:t>
шілде</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4. Ғылымды көп қажет ететін экономиканың инфрақұрылымын жеделдете қалыптастыру</w:t>
            </w:r>
          </w:p>
          <w:bookmarkEnd w:id="5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1. Өсу факторларының өнімділігін арттыру</w:t>
            </w:r>
          </w:p>
          <w:bookmarkEnd w:id="52"/>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27.</w:t>
            </w:r>
          </w:p>
          <w:bookmarkEnd w:id="53"/>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"бенчмаркаларға" сәйкес экономиканың барлық салалары үшін өнімділікті мониторингтеудің ұлттық жүйесін әзірлеу бойынша ұсыныстар енгізу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СА,</w:t>
            </w:r>
            <w:r>
              <w:br/>
            </w:r>
            <w:r>
              <w:rPr>
                <w:rFonts w:ascii="Times New Roman"/>
                <w:b w:val="false"/>
                <w:i w:val="false"/>
                <w:color w:val="000000"/>
                <w:sz w:val="20"/>
              </w:rPr>
              <w:t>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2. Ұлттық инновациялық жүйені дамыту</w:t>
            </w:r>
          </w:p>
          <w:bookmarkEnd w:id="54"/>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28.</w:t>
            </w:r>
          </w:p>
          <w:bookmarkEnd w:id="55"/>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әзірлемелер мен жаңа технологиялардың сараптамалары жүйесін жетілдіру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БҒМ, мүдделі мемлекеттік органдар, "Бәйтерек" ҰБХ" АҚ (келісім бойынша), "ТДҰА" АҚ (келісім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29.</w:t>
            </w:r>
          </w:p>
          <w:bookmarkEnd w:id="56"/>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перспективалы инновациялық идеялар мен жобаларды анықтау және қолдау, оларды енгізу, масштабтау және ілгерілету, сондай-ақ талантты инноваторларды іздеу және қолдау мақсатында мемлекеттік қолдау құралдарының жүйесін іске асыру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БҒМ,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3. Инфрақұрылымдық шектеулерді жою</w:t>
            </w:r>
          </w:p>
          <w:bookmarkEnd w:id="57"/>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30.</w:t>
            </w:r>
          </w:p>
          <w:bookmarkEnd w:id="58"/>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көлік мәселелері бойынша өзгерістер мен толықтырулар енгізу туралы" Қазақстан Республикасының Заңы жобасының тұжырымдамасын әзірлеу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қызметі мәселелері жөніндегі ВАК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шілде</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4. "Жасыл экономикаға" көшу арқылы тұрақты даму</w:t>
            </w:r>
          </w:p>
          <w:bookmarkEnd w:id="59"/>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31.</w:t>
            </w:r>
          </w:p>
          <w:bookmarkEnd w:id="60"/>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энергияны көп қажет етуін төмендету және өндірістің эталондық тәсілдерін енгізген компанияларды қолдау мақсатында "Энергия тиімділіктегі көшбасшы" бағдарламасын әзірлеу және енгізу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ЭБЖМ, мүдделі мемлекеттік органдар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32.</w:t>
            </w:r>
          </w:p>
          <w:bookmarkEnd w:id="61"/>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алумен бірге қалдықтарды қайта пайдалану тетігін енгізу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2016 – 2020 жылдар аралығында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33.</w:t>
            </w:r>
          </w:p>
          <w:bookmarkEnd w:id="62"/>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 іргелес аумақтардағы қоршаған ортаны қорғау мен қалпына келтіруге инвестиция салуға ынталандыратын "таза шығындардың болмауы" тетігін енгізу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(жинақтау), ЭБЖМ, МГМ, мүдделі мемлекеттік органдар, облыстардың, Астана және Алматы қалаларының әкімдіктері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34.</w:t>
            </w:r>
          </w:p>
          <w:bookmarkEnd w:id="63"/>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экономиканың" мынадай: ұлттық желіге ықпалдастырылмаған жаңартылатын энергия көздерін пайдалану, тиімді ауыл шаруашылығы (жылыжай шаруашылықтарын құра және тамшылатып суаруды пайдалана отырып), қалдықтарды орталықтандырылған жинауды ұйымдастыру, кәдеге жарату және қайта өңдеу, тұйық ресурстық циклге көшу қағидаттарына сәйкес бірнеше (2-3) пилоттық тірек ауылдық елді мекендерді, шалғайдағы ауылдар мен кенттерді трансформациялау бойынша жоспар әзірлеу және қайта құруларды жүзеге асыру бойынша ұсыныстар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(жинақтау), АШМ, ӨДМ, облыстардың, Астана және Алматы қалаларының әкімдіктері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r>
              <w:br/>
            </w:r>
            <w:r>
              <w:rPr>
                <w:rFonts w:ascii="Times New Roman"/>
                <w:b w:val="false"/>
                <w:i w:val="false"/>
                <w:color w:val="000000"/>
                <w:sz w:val="20"/>
              </w:rPr>
              <w:t>
қаңтар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5. Әлемдік және өңірлік экономикаға ықпалдасуды тереңдету</w:t>
            </w:r>
          </w:p>
          <w:bookmarkEnd w:id="64"/>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35.</w:t>
            </w:r>
          </w:p>
          <w:bookmarkEnd w:id="65"/>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көлемін үдету арқылы Орталық Азия елдерімен байланыстарды тереңдетуді қамтамасыз ету бойынша ұсыныстар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СІМ, ҰЭМ</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r>
              <w:br/>
            </w:r>
            <w:r>
              <w:rPr>
                <w:rFonts w:ascii="Times New Roman"/>
                <w:b w:val="false"/>
                <w:i w:val="false"/>
                <w:color w:val="000000"/>
                <w:sz w:val="20"/>
              </w:rPr>
              <w:t>
2020 жылға дейін жыл сайын</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Ескертпе: аббревиатуралардың толық жазылуы:</w:t>
      </w:r>
    </w:p>
    <w:bookmarkEnd w:id="66"/>
    <w:tbl>
      <w:tblPr>
        <w:tblW w:w="0" w:type="auto"/>
        <w:tblCellSpacing w:w="0" w:type="auto"/>
        <w:tblBorders>
          <w:top w:val="none"/>
          <w:left w:val="none"/>
          <w:bottom w:val="none"/>
          <w:right w:val="none"/>
          <w:insideH w:val="none"/>
          <w:insideV w:val="none"/>
        </w:tblBorders>
      </w:tblPr>
      <w:tblGrid>
        <w:gridCol w:w="1247"/>
        <w:gridCol w:w="422"/>
        <w:gridCol w:w="10631"/>
      </w:tblGrid>
      <w:tr>
        <w:trPr>
          <w:trHeight w:val="30" w:hRule="atLeast"/>
        </w:trPr>
        <w:tc>
          <w:tcPr>
            <w:tcW w:w="1247" w:type="dxa"/>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БП</w:t>
            </w:r>
          </w:p>
          <w:bookmarkEnd w:id="67"/>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1247" w:type="dxa"/>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ЖС</w:t>
            </w:r>
          </w:p>
          <w:bookmarkEnd w:id="68"/>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1247" w:type="dxa"/>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СІМ</w:t>
            </w:r>
          </w:p>
          <w:bookmarkEnd w:id="69"/>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1247" w:type="dxa"/>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ИДМ</w:t>
            </w:r>
          </w:p>
          <w:bookmarkEnd w:id="70"/>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247" w:type="dxa"/>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МСМ</w:t>
            </w:r>
          </w:p>
          <w:bookmarkEnd w:id="71"/>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247" w:type="dxa"/>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БҒМ</w:t>
            </w:r>
          </w:p>
          <w:bookmarkEnd w:id="72"/>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247" w:type="dxa"/>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ЭМ</w:t>
            </w:r>
          </w:p>
          <w:bookmarkEnd w:id="73"/>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1247" w:type="dxa"/>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АШМ</w:t>
            </w:r>
          </w:p>
          <w:bookmarkEnd w:id="74"/>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w:t>
            </w:r>
          </w:p>
        </w:tc>
      </w:tr>
      <w:tr>
        <w:trPr>
          <w:trHeight w:val="30" w:hRule="atLeast"/>
        </w:trPr>
        <w:tc>
          <w:tcPr>
            <w:tcW w:w="1247" w:type="dxa"/>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ІІМ</w:t>
            </w:r>
          </w:p>
          <w:bookmarkEnd w:id="75"/>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1247" w:type="dxa"/>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ҰЭМ</w:t>
            </w:r>
          </w:p>
          <w:bookmarkEnd w:id="76"/>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247" w:type="dxa"/>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ДСӘДМ</w:t>
            </w:r>
          </w:p>
          <w:bookmarkEnd w:id="77"/>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1247" w:type="dxa"/>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Әділетмині</w:t>
            </w:r>
          </w:p>
          <w:bookmarkEnd w:id="78"/>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247" w:type="dxa"/>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ДСМ</w:t>
            </w:r>
          </w:p>
          <w:bookmarkEnd w:id="79"/>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247" w:type="dxa"/>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ЭБЖМ</w:t>
            </w:r>
          </w:p>
          <w:bookmarkEnd w:id="80"/>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w:t>
            </w:r>
          </w:p>
        </w:tc>
      </w:tr>
      <w:tr>
        <w:trPr>
          <w:trHeight w:val="30" w:hRule="atLeast"/>
        </w:trPr>
        <w:tc>
          <w:tcPr>
            <w:tcW w:w="1247" w:type="dxa"/>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Еңбекмині</w:t>
            </w:r>
          </w:p>
          <w:bookmarkEnd w:id="81"/>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247" w:type="dxa"/>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ЭСЖКА</w:t>
            </w:r>
          </w:p>
          <w:bookmarkEnd w:id="82"/>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w:t>
            </w:r>
          </w:p>
        </w:tc>
      </w:tr>
      <w:tr>
        <w:trPr>
          <w:trHeight w:val="30" w:hRule="atLeast"/>
        </w:trPr>
        <w:tc>
          <w:tcPr>
            <w:tcW w:w="1247" w:type="dxa"/>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БАА</w:t>
            </w:r>
          </w:p>
          <w:bookmarkEnd w:id="83"/>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Байланыс және ақпарат агенттігі</w:t>
            </w:r>
          </w:p>
        </w:tc>
      </w:tr>
      <w:tr>
        <w:trPr>
          <w:trHeight w:val="30" w:hRule="atLeast"/>
        </w:trPr>
        <w:tc>
          <w:tcPr>
            <w:tcW w:w="1247" w:type="dxa"/>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ҰҒА</w:t>
            </w:r>
          </w:p>
          <w:bookmarkEnd w:id="84"/>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ғарыш агенттігі</w:t>
            </w:r>
          </w:p>
        </w:tc>
      </w:tr>
      <w:tr>
        <w:trPr>
          <w:trHeight w:val="30" w:hRule="atLeast"/>
        </w:trPr>
        <w:tc>
          <w:tcPr>
            <w:tcW w:w="1247" w:type="dxa"/>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ИЖТМ</w:t>
            </w:r>
          </w:p>
          <w:bookmarkEnd w:id="85"/>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r>
      <w:tr>
        <w:trPr>
          <w:trHeight w:val="30" w:hRule="atLeast"/>
        </w:trPr>
        <w:tc>
          <w:tcPr>
            <w:tcW w:w="1247" w:type="dxa"/>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ҚОСРМ</w:t>
            </w:r>
          </w:p>
          <w:bookmarkEnd w:id="86"/>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tc>
      </w:tr>
      <w:tr>
        <w:trPr>
          <w:trHeight w:val="30" w:hRule="atLeast"/>
        </w:trPr>
        <w:tc>
          <w:tcPr>
            <w:tcW w:w="1247" w:type="dxa"/>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МГМ</w:t>
            </w:r>
          </w:p>
          <w:bookmarkEnd w:id="87"/>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Мұнай және газ министрлігі</w:t>
            </w:r>
          </w:p>
        </w:tc>
      </w:tr>
      <w:tr>
        <w:trPr>
          <w:trHeight w:val="30" w:hRule="atLeast"/>
        </w:trPr>
        <w:tc>
          <w:tcPr>
            <w:tcW w:w="1247" w:type="dxa"/>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ӨДМ</w:t>
            </w:r>
          </w:p>
          <w:bookmarkEnd w:id="88"/>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r>
      <w:tr>
        <w:trPr>
          <w:trHeight w:val="30" w:hRule="atLeast"/>
        </w:trPr>
        <w:tc>
          <w:tcPr>
            <w:tcW w:w="1247" w:type="dxa"/>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СА</w:t>
            </w:r>
          </w:p>
          <w:bookmarkEnd w:id="89"/>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Статистика агенттігі</w:t>
            </w:r>
          </w:p>
        </w:tc>
      </w:tr>
      <w:tr>
        <w:trPr>
          <w:trHeight w:val="30" w:hRule="atLeast"/>
        </w:trPr>
        <w:tc>
          <w:tcPr>
            <w:tcW w:w="1247" w:type="dxa"/>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"Атамекен" ҰКП</w:t>
            </w:r>
          </w:p>
          <w:bookmarkEnd w:id="90"/>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1247" w:type="dxa"/>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"ҚазМұнайГаз" ҰК" АҚ</w:t>
            </w:r>
          </w:p>
          <w:bookmarkEnd w:id="91"/>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1247" w:type="dxa"/>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"ҚТЖ" ҰК" АҚ</w:t>
            </w:r>
          </w:p>
          <w:bookmarkEnd w:id="92"/>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1247" w:type="dxa"/>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"Бәйтерек" ҰБХ" АҚ</w:t>
            </w:r>
          </w:p>
          <w:bookmarkEnd w:id="93"/>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1247" w:type="dxa"/>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"ТДҰА" АҚ</w:t>
            </w:r>
          </w:p>
          <w:bookmarkEnd w:id="94"/>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агенттік" акционерлік қоғамы</w:t>
            </w:r>
          </w:p>
        </w:tc>
      </w:tr>
      <w:tr>
        <w:trPr>
          <w:trHeight w:val="30" w:hRule="atLeast"/>
        </w:trPr>
        <w:tc>
          <w:tcPr>
            <w:tcW w:w="1247" w:type="dxa"/>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ЖОО</w:t>
            </w:r>
          </w:p>
          <w:bookmarkEnd w:id="95"/>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1247" w:type="dxa"/>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ВАК</w:t>
            </w:r>
          </w:p>
          <w:bookmarkEnd w:id="96"/>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комиссия</w:t>
            </w:r>
          </w:p>
        </w:tc>
      </w:tr>
      <w:tr>
        <w:trPr>
          <w:trHeight w:val="30" w:hRule="atLeast"/>
        </w:trPr>
        <w:tc>
          <w:tcPr>
            <w:tcW w:w="1247" w:type="dxa"/>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ТжКБ</w:t>
            </w:r>
          </w:p>
          <w:bookmarkEnd w:id="97"/>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1247" w:type="dxa"/>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PhD</w:t>
            </w:r>
          </w:p>
          <w:bookmarkEnd w:id="98"/>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of Philosophy (ғылым докторы)</w:t>
            </w:r>
          </w:p>
        </w:tc>
      </w:tr>
      <w:tr>
        <w:trPr>
          <w:trHeight w:val="30" w:hRule="atLeast"/>
        </w:trPr>
        <w:tc>
          <w:tcPr>
            <w:tcW w:w="1247" w:type="dxa"/>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GхP</w:t>
            </w:r>
          </w:p>
          <w:bookmarkEnd w:id="99"/>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х Practice (тиісті х практика)</w:t>
            </w:r>
          </w:p>
        </w:tc>
      </w:tr>
      <w:tr>
        <w:trPr>
          <w:trHeight w:val="30" w:hRule="atLeast"/>
        </w:trPr>
        <w:tc>
          <w:tcPr>
            <w:tcW w:w="1247" w:type="dxa"/>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GLP</w:t>
            </w:r>
          </w:p>
          <w:bookmarkEnd w:id="100"/>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Laboratory Practice (тиісті зертханалық практика)</w:t>
            </w:r>
          </w:p>
        </w:tc>
      </w:tr>
      <w:tr>
        <w:trPr>
          <w:trHeight w:val="30" w:hRule="atLeast"/>
        </w:trPr>
        <w:tc>
          <w:tcPr>
            <w:tcW w:w="1247" w:type="dxa"/>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GCP</w:t>
            </w:r>
          </w:p>
          <w:bookmarkEnd w:id="101"/>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Clinical Practice (тиісті клиникалық практика)</w:t>
            </w:r>
          </w:p>
        </w:tc>
      </w:tr>
      <w:tr>
        <w:trPr>
          <w:trHeight w:val="30" w:hRule="atLeast"/>
        </w:trPr>
        <w:tc>
          <w:tcPr>
            <w:tcW w:w="1247" w:type="dxa"/>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GMP</w:t>
            </w:r>
          </w:p>
          <w:bookmarkEnd w:id="102"/>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Manufacturing Practice (тиісті өндірістік практика)</w:t>
            </w:r>
          </w:p>
        </w:tc>
      </w:tr>
      <w:tr>
        <w:trPr>
          <w:trHeight w:val="30" w:hRule="atLeast"/>
        </w:trPr>
        <w:tc>
          <w:tcPr>
            <w:tcW w:w="1247" w:type="dxa"/>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GDP</w:t>
            </w:r>
          </w:p>
          <w:bookmarkEnd w:id="103"/>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Distribution Practice (тиісті дистрибьюторлық практика)</w:t>
            </w:r>
          </w:p>
        </w:tc>
      </w:tr>
      <w:tr>
        <w:trPr>
          <w:trHeight w:val="30" w:hRule="atLeast"/>
        </w:trPr>
        <w:tc>
          <w:tcPr>
            <w:tcW w:w="1247" w:type="dxa"/>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GPP</w:t>
            </w:r>
          </w:p>
          <w:bookmarkEnd w:id="104"/>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Pharmacy Practice (тиісті дәріханалық практика)</w:t>
            </w:r>
          </w:p>
        </w:tc>
      </w:tr>
      <w:tr>
        <w:trPr>
          <w:trHeight w:val="30" w:hRule="atLeast"/>
        </w:trPr>
        <w:tc>
          <w:tcPr>
            <w:tcW w:w="1247" w:type="dxa"/>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GVP</w:t>
            </w:r>
          </w:p>
          <w:bookmarkEnd w:id="105"/>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Pharmacovigilance Practice (тиісті фармакологиялық қадағалау практикасы)</w:t>
            </w:r>
          </w:p>
        </w:tc>
      </w:tr>
      <w:tr>
        <w:trPr>
          <w:trHeight w:val="30" w:hRule="atLeast"/>
        </w:trPr>
        <w:tc>
          <w:tcPr>
            <w:tcW w:w="1247" w:type="dxa"/>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РIC/S</w:t>
            </w:r>
          </w:p>
          <w:bookmarkEnd w:id="106"/>
        </w:tc>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Inspection Cooperation Scheme (халықаралық фармацевтикалық инспекциялар ынтымақтастығының жүйесі)</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