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91ab" w14:textId="82c9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маусымдағы № 726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01.04.2014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сәуірден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639-құжат):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Жұмыспен қамту мәселелері жөніндегі уәкілетті орган кәсіптік бағдарлауды халықтың өзін-өзі жұмыспен қамтыған, жұмыссыз және табысы аз топтары, орта білім беру ұйымдарының 9, 11-сыныптарының оқушылары арасында білім беру саласындағы уәкілетті органмен келісім бойынша жұмыспен қамту мәселелері жөніндегі орталық уәкілетті орган әзірлеген әдістемелік ұсынымдарға сәйкес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«Бағдарламаға қатысушы мен халықты жұмыспен қамту орталығы арасында Бағдарлама операторы бекіткен нысандар бойынша жұмысқа орналастыруға және кәсіптік бағдарлауға жәрдемдесу бойынша мемлекеттік қолдау көрсету туралы, мемлекеттік қолдау шараларын көрсетусіз жұмысқа орналастыруға жәрдемдесу туралы әлеуметтік келісімшарттар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Жастар практикасына жіберілген жеке тұлғалардың еңбекақысының мөлшері экологиялық үстемеақылар төлемдерін есепке алмағанда, айына 18 АЕК (салықтарды, міндетті әлеуметтік аударымдарды, пайдаланылмаған еңбек демалысы үшін өтемақыларды және банк қызметтерін ескере отырып) құрайды.».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47, 640-құжат):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адамдарға кәсіпкерлікті дамытуға мемлекеттік қолдауды ұйымдастыру және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«Ақмола, Алматы, Шығыс Қазақстан, Павлодар және Қызылорда облыстарында (әр өңірде бір тірек ауылдан) пилотты режимде әзірленген тірек ауылдарды дамытудың мастер-жоспарларын қаржыландыруға арналған қаражат жеткізілген лимиттердің жалпы сомасының 10 пайызынан аспайтын мөлшерде қосымша жоспарланады.</w:t>
      </w:r>
      <w:r>
        <w:br/>
      </w:r>
      <w:r>
        <w:rPr>
          <w:rFonts w:ascii="Times New Roman"/>
          <w:b w:val="false"/>
          <w:i w:val="false"/>
          <w:color w:val="000000"/>
          <w:sz w:val="28"/>
        </w:rPr>
        <w:t>
      Тірек ауылдарды дамытуды қаржыландыру үшін тиісті қаржы жылына арналған республикалық бюджет туралы заңмен бөлінген қаражатты өңірлер арасында бөлу бекітілген тірек ауылдарды дамытудың мастер-жоспарларының негізінде тиісті республикалық бюджеттік бағдарлама әкімшісінің өтінімі бойынша ВАК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05.02.2015 </w:t>
      </w:r>
      <w:r>
        <w:rPr>
          <w:rFonts w:ascii="Times New Roman"/>
          <w:b w:val="false"/>
          <w:i w:val="false"/>
          <w:color w:val="000000"/>
          <w:sz w:val="28"/>
        </w:rPr>
        <w:t>№ 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05.02.2015 </w:t>
      </w:r>
      <w:r>
        <w:rPr>
          <w:rFonts w:ascii="Times New Roman"/>
          <w:b w:val="false"/>
          <w:i w:val="false"/>
          <w:color w:val="000000"/>
          <w:sz w:val="28"/>
        </w:rPr>
        <w:t>№ 42</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