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6e7c" w14:textId="c736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4 маусымдағы № 611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114-бабына</w:t>
      </w:r>
      <w:r>
        <w:rPr>
          <w:rFonts w:ascii="Times New Roman"/>
          <w:b w:val="false"/>
          <w:i w:val="false"/>
          <w:color w:val="000000"/>
          <w:sz w:val="28"/>
        </w:rPr>
        <w:t>, «Ұлттық әл-ауқат қоры туралы» 2012 жылғы 1 ақпандағы Қазақстан Республикасының Заңы 23-бабының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1.«Ұлттық индустриялық мұнай-химия технопаркі» арнайы экономикалық аймағын басқарушы компания» акционерлік қоғамының 49 % (қырық тоғыз пайыз) көлеміндегі мемлекеттік акциялар пакеті «Самұрық-Қазына» ұлттық әл-ауқат қоры» акционерлік қоғамының (бұдан әрі - Қор) орналастырылатын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Қормен бірлесіп (келісім бойынша) заңнамада белгіленген тәртіппен осы қаулыны іске асыру үшін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