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3429" w14:textId="0d43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шетелдік және отандық инвестицияларды тарту жөніндегі кешенді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Тікелей шетелдік және отандық инвестицияларды тарту жөніндегі кешенді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Орындалуына жауапты орталық атқарушы органдар жарты жылда бір рет, есепті жартыжылдықтан кейінгі айдың 5-күнінен кешіктірмей Қазақстан Республикасы Экономика және бюджеттік жоспарлау министрлігіне Кешенді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жарты жылда бір рет, есепті жартыжылдықтан кейінгі айдың 25-күнінен кешіктірмей Қазақстан Республикасының Үкіметіне Кешенді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мамырдағы </w:t>
      </w:r>
      <w:r>
        <w:br/>
      </w:r>
      <w:r>
        <w:rPr>
          <w:rFonts w:ascii="Times New Roman"/>
          <w:b w:val="false"/>
          <w:i w:val="false"/>
          <w:color w:val="000000"/>
          <w:sz w:val="28"/>
        </w:rPr>
        <w:t xml:space="preserve">
№ 570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Тікелей шетелдік және отандық инвестицияларды тарту жөніндегі</w:t>
      </w:r>
      <w:r>
        <w:br/>
      </w:r>
      <w:r>
        <w:rPr>
          <w:rFonts w:ascii="Times New Roman"/>
          <w:b/>
          <w:i w:val="false"/>
          <w:color w:val="000000"/>
        </w:rPr>
        <w:t>
кешенді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433"/>
        <w:gridCol w:w="2488"/>
        <w:gridCol w:w="2952"/>
        <w:gridCol w:w="2238"/>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тікелей шетелдік және отандық инвестицияларды тарту үшін жаңа ынталандырулар топтамасы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Инвесторлармен инвестициялық келісімдер (келісімшарттар) жасау тетігін қайта қарауды көздейтін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Қаржымині, Еңбекмині, ТМРА, «Самұрық-Қазына» ҰӘҚ» АҚ (келісім бойынша), «Бәйтерек» ҰБХ» АҚ (келісім бойынша), «Қазагро» ҰБХ» АҚ (келісім бойынша)</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қолдаудың қосымша шараларын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енгізгеннен кейін мемлекет тарапынан күрделі қаржы шығындарының 30 %-ына дейін өтеу (инвестициялық субсидия);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инвестициялық жобалар бойынша түзетуді және дивидендтер бойынша босатуды алып тастай отырып, корпоративтік табыс салығын төлеуден 10 жыл мерзімге босату;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 ұлттық холдингтер және ұлттық компаниялар тарапынан инвесторлардың тауарлары мен көрсететін қызметтеріне ұзақ мерзімді кепілді тапсырыс</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мүдделері балансын сақтай отырып, инвесторлармен жасасатын инвестициялық келісімдер (келісімшарттар) шеңберінде мыналарда 10 жылға заңнаманың «тұрақтылығы» қағидатын енгізу: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тұрақтылықтың жер қойнауын пайдалану, ойын бизнесі, акцизделетін тауарлар өндірісі, квазимемлекеттік сектор, дербес білім беру ұйымдары және АЭА аумағында қызметін жүзеге асыратын ұйымдарға таралуын қоспағанда, салық саласында салықтар мөлшерлемелері және алымдар бөлігінде (қосымша құн салығын және акциздерді қоспағанда);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саласында ұзақ мерзімді кезеңге табиғи монополиялар субъектілерінің реттелетін қызметтеріне тарифтерді бекіту бөлігінде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Инвестиция комитетіне инвесторлардың сұрау салуы бойынша рұқсаттамалық құжаттар және ақпарат беруді үйлестіру жөніндегі функцияларды беру арқылы инвесторлар үшін «бір терезе» қағидатын енгізу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инвесторларға шетелдік жұмыс күшін тартуға квотадан тыс және рұқсаттамаларсыз, инвестициялық жобаны іске асырудың бүкіл кезеңіне және объектіні пайдалануға берген соң бір жылға шетелдік жұмыс күшін тарту құқығын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құқығымен байланысты және тасымал шартынан туындайтын тасымалдаушыға талап қою жөніндегі мәселелерге қатысты дау нысанасы бөлігінде инвесторлардың мәселелерін шешу кезінде халықаралық төрелікті қолдану саласын қайта қарау мүмкіндігін қарау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Әділетмині, ИЖТМ, БП (келісім бойынша), ҰҚК (келісім бойынша), </w:t>
            </w:r>
            <w:r>
              <w:br/>
            </w:r>
            <w:r>
              <w:rPr>
                <w:rFonts w:ascii="Times New Roman"/>
                <w:b w:val="false"/>
                <w:i w:val="false"/>
                <w:color w:val="000000"/>
                <w:sz w:val="20"/>
              </w:rPr>
              <w:t>
ЖС (келісім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АЭА-ны одан әрі дамыту</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Визалық режимді жеңілдету</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дамыған елдердің азаматтарына визасыз режимді біржақты тәртіпте орнату мәселесін қарау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ІІМ, БП (келісім бойынша), ҰҚК (келісім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визаларын беру, сондай-ақ олардың қолданылу мерзімдерін ұзарту және қысқарту қағидалары» Қазақстан Республикасы Сыртқы істер министрі міндетін атқарушының 2013 жылғы 5 наурыздағы № 08-1-1-1/71 және Қазақстан Республикасы Ішкі істер министрінің 2013 жылғы 7 наурыздағы № 175 бірлескен бұйрығына шетелдік компаниялардың құрылымдық бөлімшелері басшыларына инвесторлық визаларды ресімдеу кезінде өзара іс-қимыл жасау тетігі бөлігінде өзгерістер мен толықтырулар енгізу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және ІІМ бірлескен бұйрығы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ІІМ, ҰҚК (келісім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«Инвестициялық омбудсмен» институтын жетілдіру</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омбудсмен» қағидаты бойынша инвесторлардың құқықтарын қорғау институтын енгізу мәселесін қарау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5-бағыт: Қазақстан Республикасына шетелдік және отандық инвестицияларды тарту жөніндегі 2014 – 2015 жылдарға арналған нақты жоспар</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Тікелей шетелдік және отандық инвестицияларды тарту жөніндегі кешенді іс-шаралар жоспарына </w:t>
            </w:r>
            <w:r>
              <w:rPr>
                <w:rFonts w:ascii="Times New Roman"/>
                <w:b w:val="false"/>
                <w:i w:val="false"/>
                <w:color w:val="000000"/>
                <w:sz w:val="20"/>
              </w:rPr>
              <w:t>қосымшаға</w:t>
            </w:r>
            <w:r>
              <w:rPr>
                <w:rFonts w:ascii="Times New Roman"/>
                <w:b w:val="false"/>
                <w:i w:val="false"/>
                <w:color w:val="000000"/>
                <w:sz w:val="20"/>
              </w:rPr>
              <w:t xml:space="preserve"> сәйкес әлеуетті инвесторлар арасында Қазақстанның басым секторларындағы жаңа инвестициялық мүмкіндіктер туралы ақпараттық-түсіндірме жұмыстарын (кездесулер, бизнес-форумдар, роуд-шоулар) өткізуді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қаңтарға дейін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дипломатиялық өкілдіктерді, салалық мемлекеттік органдар мен ұйымдарды, сондай-ақ жергілікті атқарушы органдарды (өңірлік мамандандыруға сәйкес) бекіте отырып, Қазақстанда өндірістерді орналастыру бойынша мүдделі, оның ішінде қайта инвестициялауға мүдделі инвесторлардың тізбесін қалыптастыру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мемлекеттік органдар мен ұйымдар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Салалардағы көшбасшы-инвесторларды тарту бойынша жол карталарын бекіту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ұйымдар басшыларының бұйрықтары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органдар мен ұйымдар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тарту бойынша атқарылған жұмыс жөнінде мемлекеттік органдар мен ұйымдардың есептерін ұсыну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мемлекеттік органдар мен ұйымдар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 2015 жылғы мамыр</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дипломатиялық өкілдіктерді, салалық мемлекеттік органдар мен ұйымдарды, сонымен қатар жергілікті атқарушы органдарды (өңірлік мамандандырумен сәйкес) бекіте отырып, Қазақстанда өндірістерді орналастыру бойынша мүдделі, оның ішінде қайта инвестициялауға мүдделі инвесторлардың тізбесін өзектілендіру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мемлекеттік органдар мен ұйымдар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 2015 жылғы тамыз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енгізуге және өндірістік қуатқа шығаруға дейін, сондай-ақ пост-инвестициялық кезеңде және қайта инвестициялауға дейін инвестициялық жобаларды іске асыру мәселелері бойынша инвесторларға мемлекеттік қолдауды қамтамасыз ету бойынша шаралар қабылдау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органдар мен ұйымдар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 2015 жылғы мамыр</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«Бәйтерек» ҰБХ» АҚ – «Бәйтерек» ұлттық басқарушы холдингі» акционерлік қоғамы</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АЭА – арнайы экономикалық аймақ</w:t>
      </w:r>
    </w:p>
    <w:bookmarkStart w:name="z9" w:id="3"/>
    <w:p>
      <w:pPr>
        <w:spacing w:after="0"/>
        <w:ind w:left="0"/>
        <w:jc w:val="both"/>
      </w:pPr>
      <w:r>
        <w:rPr>
          <w:rFonts w:ascii="Times New Roman"/>
          <w:b w:val="false"/>
          <w:i w:val="false"/>
          <w:color w:val="000000"/>
          <w:sz w:val="28"/>
        </w:rPr>
        <w:t xml:space="preserve">
Тікелей шетелдік және отандық  </w:t>
      </w:r>
      <w:r>
        <w:br/>
      </w:r>
      <w:r>
        <w:rPr>
          <w:rFonts w:ascii="Times New Roman"/>
          <w:b w:val="false"/>
          <w:i w:val="false"/>
          <w:color w:val="000000"/>
          <w:sz w:val="28"/>
        </w:rPr>
        <w:t xml:space="preserve">
инвестицияларды тарту жөніндегі </w:t>
      </w:r>
      <w:r>
        <w:br/>
      </w:r>
      <w:r>
        <w:rPr>
          <w:rFonts w:ascii="Times New Roman"/>
          <w:b w:val="false"/>
          <w:i w:val="false"/>
          <w:color w:val="000000"/>
          <w:sz w:val="28"/>
        </w:rPr>
        <w:t xml:space="preserve">
кешенді іс-шаралар жоспарына  </w:t>
      </w:r>
      <w:r>
        <w:br/>
      </w:r>
      <w:r>
        <w:rPr>
          <w:rFonts w:ascii="Times New Roman"/>
          <w:b w:val="false"/>
          <w:i w:val="false"/>
          <w:color w:val="000000"/>
          <w:sz w:val="28"/>
        </w:rPr>
        <w:t xml:space="preserve">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4233"/>
        <w:gridCol w:w="2340"/>
        <w:gridCol w:w="2296"/>
        <w:gridCol w:w="1551"/>
        <w:gridCol w:w="145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 мен ұйымдар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техникасының өндірісі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астық жинайтын комбайндар, ауыл шаруашылығына арналған машина бөлшектері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CLAAS, Lemken (Германия), John Deere, AGCO, Case New Holland, Green Plain (АҚШ), Codaf SRL, Same DeutzFahrе, Scarabelli Export S.R.L., Nettuno, Pedrotti s.p.a. (Италия), Myrtech, Agrokonsultos Grupe, Bauer (Чехия), Agro-Matadex Animals Farming Stable Equipment, PRONAR (Польша), Yanmar, Kubota (Жапония), Kverneland (Норвегия), Irrifrance (Франция), Sampo Rosenlew LTD (Финляндия), Bourgault (Канада)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«Қазагро» ҰБХ»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Автокөлік құралдарының өндірісі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қосалқы бөлшектер, жабдықтар мен қозғалтқыштар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Denso, AisinSeiki, KomatsuCummins, Niigata (Жапония), Bosch, Hatz, MWM, Man, Mercedes Benz (Германия), Magna International, Linamar (Канада), Delphi Automotive, TRW Automotive Holdings, Kohler, Lombardini, MTU, GM (АҚШ), Valeo, Lugger (Франция), Hyundai (Оңтүстік Корея), Lister-Petter, Perkins (Ұлыбритания), Steyr (Австрия), Iveco (Италия), Volvo (Швеция)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«Қазақстан инжиниринг» ҰК» АҚ (келісім бойынша), ҰКП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өндіруші және мұнай-газ өндеуші жабдық</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машиналар мен жабдық, турбокомпрессорлар, фланцтар және басқалар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Dando Drilling Int., Bel-valves Ltd., Amarinth (Ұлыбритания), BredaEnergia,NuovoPignone, Tai Milano SpA, OmsSaleriSpA, Orlandi, Walter Tosto Spa, Rosetti Marino SpA,AturiaPompe, Cerpelli, Peroni Pompe SpA, Drilmec SpA, Tenaris (Италия) және/немесе Vallourec, Delaunay et Fils, Areva (Франция), Itochu Corporation, Mitsui (Жапония), Petrovalve, GE, Triqua BV, Framo, CAT Pumps, Vermeer, National Oilwell Varco (АҚШ), Siemens, Man-Turbo, Steinweg-Bцcker (Германия), Arc Energy Resources Ltd (Канада), Sandvik Mining And Construction Finland Corp. (Финляндия)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«ҚМГ» ҰК» АҚ (келісім бойынша), «Қазақстан инжиниринг» ҰК»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Тау-кен жабдығы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бұрылысты машиналар, біршөмішті тиегіш машиналар, бұрғылау және жүріп өту мүмкіндігі жоғары машиналар және олардың қосалқы бөлшектері, топырақты, тасты, кенді және басқа да қазып алынатын минералдарды іріктеуге, шаюға, ұсақтауға, уатуға, араластыруға арналған жабдықтардың бөлшектері, жүк таситын өзі аударғыш машиналар, ұсақтау мен уатуға арналған машиналар, механикалық күректер, эксковаторлар және біршөмішті тиегіш машиналар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Sany Heavy Industry (Қытай), Hyundai Heavy Industries, POSCO (Оңтүстік Корея), Weir Minerals (Ұлыбритания), Toyota Tshusho Corporation, Mitsui Corporation (Жапония)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«Қазгеология» ҰГБК» АҚ (келісім бойынша), «Қазақстан инжиниринг» ҰК»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техникасының өндірісі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 вагондары, қосалқы бөлшектер, теміржол техникасына арналған жабдықтар мен қозғалтқыштар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Alstom (Франция), SIEMENS, Knorr-Bremse, Zemag (Германия), Mitsui (Жапония), LG (Оңтүстік Корея), Talgo (Испания), Bombardier (Канада), General Electric (АҚШ)</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Электротехникалық машина жасау</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тоңазытқыш және мұздатқыш жабдық, жылу сорғысы, қозғалтқыштар, электрогенераторлық қондырғылар, пульттер, панельдер, консольдер, үстелдер, бөліп таратқыш қалқандар және электр аппаратураға арналған табандар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Schneider Electric, LeGrand (Франция), Emerson Electric Manufacturing Co., Pall Corporation (АҚШ), FujiElectric, Sumitomo Electric Industries, Nidec, Furukawa Electric (Жапония), Prysmian (Италия), Rainer Lammertz, Bosch (Германия), LSCorp (Оңтүстік Корея), Dongfang Electric Corporation (Қытай)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инжиниринг» ҰК»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r>
      <w:tr>
        <w:trPr>
          <w:trHeight w:val="229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қышқыл, сілті мен негіз;</w:t>
            </w:r>
            <w:r>
              <w:br/>
            </w:r>
            <w:r>
              <w:rPr>
                <w:rFonts w:ascii="Times New Roman"/>
                <w:b w:val="false"/>
                <w:i w:val="false"/>
                <w:color w:val="000000"/>
                <w:sz w:val="20"/>
              </w:rPr>
              <w:t>
фосфорды қайта өңдеу өнімдері;</w:t>
            </w:r>
            <w:r>
              <w:br/>
            </w:r>
            <w:r>
              <w:rPr>
                <w:rFonts w:ascii="Times New Roman"/>
                <w:b w:val="false"/>
                <w:i w:val="false"/>
                <w:color w:val="000000"/>
                <w:sz w:val="20"/>
              </w:rPr>
              <w:t>
минералды тыңайтқыштар;</w:t>
            </w:r>
            <w:r>
              <w:br/>
            </w:r>
            <w:r>
              <w:rPr>
                <w:rFonts w:ascii="Times New Roman"/>
                <w:b w:val="false"/>
                <w:i w:val="false"/>
                <w:color w:val="000000"/>
                <w:sz w:val="20"/>
              </w:rPr>
              <w:t>
пестицидтер;</w:t>
            </w:r>
            <w:r>
              <w:br/>
            </w:r>
            <w:r>
              <w:rPr>
                <w:rFonts w:ascii="Times New Roman"/>
                <w:b w:val="false"/>
                <w:i w:val="false"/>
                <w:color w:val="000000"/>
                <w:sz w:val="20"/>
              </w:rPr>
              <w:t>
майлау материалдары;</w:t>
            </w:r>
            <w:r>
              <w:br/>
            </w:r>
            <w:r>
              <w:rPr>
                <w:rFonts w:ascii="Times New Roman"/>
                <w:b w:val="false"/>
                <w:i w:val="false"/>
                <w:color w:val="000000"/>
                <w:sz w:val="20"/>
              </w:rPr>
              <w:t>
тежеуіш, гидравликалық сұйықтық;</w:t>
            </w:r>
            <w:r>
              <w:br/>
            </w:r>
            <w:r>
              <w:rPr>
                <w:rFonts w:ascii="Times New Roman"/>
                <w:b w:val="false"/>
                <w:i w:val="false"/>
                <w:color w:val="000000"/>
                <w:sz w:val="20"/>
              </w:rPr>
              <w:t>
антифриз бен антимұздатқыштар;</w:t>
            </w:r>
            <w:r>
              <w:br/>
            </w:r>
            <w:r>
              <w:rPr>
                <w:rFonts w:ascii="Times New Roman"/>
                <w:b w:val="false"/>
                <w:i w:val="false"/>
                <w:color w:val="000000"/>
                <w:sz w:val="20"/>
              </w:rPr>
              <w:t>
жарылғыш заттар;</w:t>
            </w:r>
            <w:r>
              <w:br/>
            </w:r>
            <w:r>
              <w:rPr>
                <w:rFonts w:ascii="Times New Roman"/>
                <w:b w:val="false"/>
                <w:i w:val="false"/>
                <w:color w:val="000000"/>
                <w:sz w:val="20"/>
              </w:rPr>
              <w:t>
өнеркәсіптік газдар;</w:t>
            </w:r>
            <w:r>
              <w:br/>
            </w:r>
            <w:r>
              <w:rPr>
                <w:rFonts w:ascii="Times New Roman"/>
                <w:b w:val="false"/>
                <w:i w:val="false"/>
                <w:color w:val="000000"/>
                <w:sz w:val="20"/>
              </w:rPr>
              <w:t>
шиналар;</w:t>
            </w:r>
            <w:r>
              <w:br/>
            </w:r>
            <w:r>
              <w:rPr>
                <w:rFonts w:ascii="Times New Roman"/>
                <w:b w:val="false"/>
                <w:i w:val="false"/>
                <w:color w:val="000000"/>
                <w:sz w:val="20"/>
              </w:rPr>
              <w:t>
резеңке-техникалық өнім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OxyChem, UOP Honeywell company, Dow Chemicals, HillCorp., Lummus Technology, Mosaic (АҚШ), Kemira, Tikkurila (Финляндия), Evonik Industries, BASF (Германия), Solvay (Бельгия), Areva (Франция), AkzoNobel, Orica (Австралия), Maksam (Испания), AsahiKasei Corporation (Жапония), PlenumL.L.C. (ОАЭ), LG Chem (Оңтүстік Корея), YaraInt. (Норвегия), Agrium, PotashCorp (Канада)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АШМ, «БХК» ЖШС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тақташалар, отқа төзімді кірпіш, табақ шыны, жылу өткізбейтін материалдар, мәрмәр, травертин, жабындық-битумдық материалдар және иілгіш жабынқыш, сантехкерамика, тақташа және сантехкерамика өндіру үшін балшықты байыту, әйнек ыдыс өндірісі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«Lasselsberger, a. s.» (Чехия), Emil Ceramika Ideal Standard International, Ceramicas Gala S.A. (Италия), POSCO Chemtech, STX Offshore&amp;Shipbuilding (Оңтүстік Корея), SiseCamGroup, YontemYapi, NursoyGroup, TurkMall (Түркия), URSA (Испания), Технониколь (Ресей), Saint-Gobain (Франция), Rockwool (Дания), O-I (АҚШ), Ardagh Glass, Universal Wood Products (Ұлыбритания), AEDAS (Гонконг), SekisuiSPR (Жапония)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ҰКП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кешен</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болаттан жасалған бос жапсарсыз пішін, құбырларға арналған құюлы емес болат фитингтер, сым, ыстықтай соғылған өзектер мен шыбықтар; тот баспайтын болаттан жасалған пішін, пісірілген пішін және болаттан жасалған шпунттық құрылымдар мен теміржол жолдарына арналған қара металдан жасалған бұйымдар, шөміштер, грейферлер, бұрғылау машиналарына арналған бөлшектер, мыс құбырлары мен түтіктер, мыс сым, мыс шыбықтар мен пішіндер, мыс тақташалар, табақтар мен жолақтар немесе таспалар, алюминий шыбықтар мен пішіндер, алюминий металқұрылымдар, бөшкелер, барабандар, құтылар, жәшіктер мен ұқсас сыйымдылықтар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ViegaGmbH, ESF Elbe-StahlwerkFeralpiGmbH, Lech Stahlwerke, ThyssenKrupp, Vossloh Group, DEB DeutscheErzeBeteiligungs AG, H.C. StarckGmbH, K&amp;K NaturalResourcesGmbH (Германия), KofulsoCo., HyunwooCentralAsia, POSCO, KORES (Оңтүстік Корея), </w:t>
            </w:r>
            <w:r>
              <w:br/>
            </w:r>
            <w:r>
              <w:rPr>
                <w:rFonts w:ascii="Times New Roman"/>
                <w:b w:val="false"/>
                <w:i w:val="false"/>
                <w:color w:val="000000"/>
                <w:sz w:val="20"/>
              </w:rPr>
              <w:t>
Rio Tinto, AngloAmerican (Ұлыбритания), Itochu Corporation, Chiyoda Corporation (Жапония), Duhlia Mutiara SdnBhd, Melewar Industrial Group Berhad (Малайзия), SUN Group (Үндістан), Vallourec (Франция), Keppel Offshore &amp; Marine Limited (Сингапур), Noksel (Түркия), Hebei Iron and Steel (Қытай), Gruppo, Riva, Alcoa (АҚШ), Gerdau (Бразилия), Codelco (Чили), BHP Billiton (Австралия), XstraPlc (Швейцария), Alcan Aluminum (Канада), Emirates Global Aluminum (БАЭ), Qatar Mining (Катар)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ҰКП, «Тау-Кен Самұрық» ҰТКК» АҚ (келісім бойынша), «Қазгеология» ҰГБК» АҚ (келісім бойынша), «Қазақстан инжиниринг» ҰК»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өнеркәсібі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жемістер, жаңғақтар, саңырауқұлақтар мен трюфельдер, жеміс және көкөніс шырындары, консервіленген азық-түлік, джем, жемісті желе, мармелад, жылумен өңдеу арқылы алынған жемісті не жаңғақтық езбе, жемісті не жаңғақты паста, тоң майлар мен майлар, сүт өнімдері, жарма, ұн, макарон және кондитерлік өнімдер, ет өнімі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Anadolu Efes (Coca-Cola), Okan Holding (Түркия), Lotte Group (Оңтүстік Корея), Danone (Франция), Lorenz GmbH (Германия), Global Beef, Cokey Systems Corporation, Feerum S.A., UNO Corporation (АҚШ), National Feedlot Corporation (NFC) (Малайзия), Americana Group (Кувейт), Indofood (Индонезия), Goon Group (Германия), Cairo Poultry Company (Мысыр)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СІМ, «Қазагро» ҰБХ»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өнеркәсібі</w:t>
            </w:r>
            <w:r>
              <w:br/>
            </w:r>
            <w:r>
              <w:rPr>
                <w:rFonts w:ascii="Times New Roman"/>
                <w:b w:val="false"/>
                <w:i w:val="false"/>
                <w:color w:val="000000"/>
                <w:sz w:val="20"/>
              </w:rPr>
              <w:t>
(мұнай-газ өндірісі, мұнай-газды қайта өңдеу және мұнай-химия)</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көмірсутектер (этилен, пропилен, бутен); циклдік көмірсутектер (стирол, кумол, ксилол); полиэтилентерефталат; хош иісті көмірсутектер (бензол, параксилол); алғашқы нысандағы полимерлер (полипропилен, полиэтилен, полибутадиен); жасанды талшықтар синтетикалық каучук</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BASF, Lanxess (Германия), Dow Сhemicals, Exxon Mobil Chemical, HilexPoly (АҚШ), Lyondell Basell (Нидерланды), Nissei Plastic, Asahi Kasei (Жапония), Sinopec (Қытай), Michelin (Франция), Synthos SA (Польша)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СІМ, «ҚМГ» ҰК» АҚ (келісім бойынша), «БХК» ЖШС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өнеркәсіп, медициналық жабдықтар өндірісі</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және дженериктік препараттар, медициналық жабдық</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 Schumacher (Германия), Polpharma (Польша), Pfizer (АҚШ), Gesan Production (Италия), Sanofi (Франция), Shimadzu Corporation (Жапония)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«СҚ-Фармация» ЖШС (келісім бойынша), «Қазмедтех»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логистика</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қалалық, логистикалық және портты инфрақұрылым, автомагистральдар, логистикалық орталықтар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Vinci Construction, BUSS Group, Optima Toll, Intelligent Audit, US Logistics, The Logistics Store, Target Freight Management, First Flight Solutions, Whitacre Logistics, iDrive Logistics, Freight Pros, ODW Logistics &amp; Transportation Services, Farm2Fleet Trucking, ATDynamics, Load Delivered Logistics, Ecogistics</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 «ҚТЖ» ҰК» АҚ (келісім бойынша), «ҚазАвтоЖол» ҰК» АҚ (келісім бойынша) «ҚМЖМӘО»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басқару бойынша бағдарламалық қамтылым, бұлыңғыр және мобильді қосымшалар, ақпараттық мәліметтер қоры (big data)</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Hewlett-Packard Company (HP), IBM, Сisco, Microsoft, Google, Qualcomm, Intel Orbitz, Samsung Electronics, Hitachi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Ынтымақтастық перспективаларын пысықтау</w:t>
            </w:r>
            <w:r>
              <w:br/>
            </w:r>
            <w:r>
              <w:rPr>
                <w:rFonts w:ascii="Times New Roman"/>
                <w:b w:val="false"/>
                <w:i w:val="false"/>
                <w:color w:val="000000"/>
                <w:sz w:val="20"/>
              </w:rPr>
              <w:t>
2. Жаңа ынталандырмаларды беру мәселесін пысықтау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«Қазақтелеком» АҚ (келісім бойынша), «ҰАТ» АҚ (келісім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