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40c9" w14:textId="48a4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Кадрлардың біліктілігін арттыру курсы" мемлекеттік мекемесін қайта атау және 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2014 жылғы 21 мамырдағы № 528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Кадрлардың біліктілігін арттыру курсы» мемлекеттік мекемесі Қазақстан Республикасы Еңбек және халықты әлеуметтік қорғау министрлігінің «Әлеуметтік-еңбек саласында кадрлардың біліктілігін арттыру курсы» мемлекеттік мекемесі (бұдан әрі – мемлекеттік мекеме) болып қайта аталсын.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заңнамада белгіленген тәртіппен:</w:t>
      </w:r>
      <w:r>
        <w:br/>
      </w:r>
      <w:r>
        <w:rPr>
          <w:rFonts w:ascii="Times New Roman"/>
          <w:b w:val="false"/>
          <w:i w:val="false"/>
          <w:color w:val="000000"/>
          <w:sz w:val="28"/>
        </w:rPr>
        <w:t>
      1) мемлекеттік мекеменің әділет органдарында қайта тіркелуін қамтамасыз етсін;</w:t>
      </w:r>
      <w:r>
        <w:br/>
      </w:r>
      <w:r>
        <w:rPr>
          <w:rFonts w:ascii="Times New Roman"/>
          <w:b w:val="false"/>
          <w:i w:val="false"/>
          <w:color w:val="000000"/>
          <w:sz w:val="28"/>
        </w:rPr>
        <w:t>
      2) осы қаулыны іске асыру жөнінде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кейбiр шешiмдерiне мынадай өзгерiстер мен толықтыру енгiзiлсiн: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Еңбек және халықты әлеуметтік қорғау министрлігі, оның аумақтық органдарын және ведомстволық бағынысты мемлекеттік мекемелерін ескере отырып, оның ішінде:» деген 7-бөлімде: </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016"/>
        <w:gridCol w:w="2045"/>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Кадрлардың біліктілігін арттыру курсы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018"/>
        <w:gridCol w:w="2044"/>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«Әлеуметтік-еңбек саласы кадрларының біліктілігін арттыру курсы»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