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9d0b" w14:textId="3869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МӨЗ-ін реконструкциялау және жаңғырту" басым жобасы бойынша шетелдік жұмыс күшін тартуға 2014 жылға арналған квоталар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наурыздағы № 232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«Халықтың көші-қоны туралы» 2011 жылғы 22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«Атырау МӨЗ-ін реконструкциялау және жаңғырту» басым жобасы бойынша шетелдік жұмыс күшін тартуға 2014 жылға арналған квоталар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«Атырау МӨЗ-ін реконструкциялау және жаңғырту» басым жобасы бойынша шетелдік жұмыс күшін тартуға 2013 жылға арналған квоталар белгілеу және «Атырау МӨЗ-ін реконструкциялау және жаңғырту» басым жобасын іске асыру үшін шетелдік жұмыс күшін тартуға рұқсат беру шарттарын бекіту туралы» Қазақстан Республикасы Үкіметінің 2013 жылғы 29 наурыздағы № 298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22, 367-құжат)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«Атырау МӨЗ-ін реконструкциялау және жаңғырту» басым жобасын іске асыру үшін шетелдік жұмыс күшін тартуға рұқсат беру </w:t>
      </w:r>
      <w:r>
        <w:rPr>
          <w:rFonts w:ascii="Times New Roman"/>
          <w:b w:val="false"/>
          <w:i w:val="false"/>
          <w:color w:val="000000"/>
          <w:sz w:val="28"/>
        </w:rPr>
        <w:t>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«Атырау МӨЗ-ін реконструкциялау және жаңғырту» жобасын іске асыру үшін Қазақстан Республикасы азаматтарының саны бас мердігерлік және олардың қосалқы мердігерлік ұйымдарындағы үшінші санатқа жатқызылатын қызметкерлердің тізімдік санының 70 %-нан кем болмауы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«Атырау МӨЗ-ін реконструкциялау және жаңғырту» жобасын іске асыру үшін Қазақстан Республикасы азаматтарының саны бас мердігерлік және олардың қосалқы мердігерлік ұйымдарындағы төртінші санатқа жатқызылатын қызметкерлердің тізімдік санының 70 %-нан кем болмауы тиіс».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«Атырау МӨЗ-ін реконструкциялау және жаңғырту» басым жобасы</w:t>
      </w:r>
      <w:r>
        <w:br/>
      </w:r>
      <w:r>
        <w:rPr>
          <w:rFonts w:ascii="Times New Roman"/>
          <w:b/>
          <w:i w:val="false"/>
          <w:color w:val="000000"/>
        </w:rPr>
        <w:t>
бойынша шетелдік жұмыс күшін тартуға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квоталар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2"/>
        <w:gridCol w:w="2292"/>
        <w:gridCol w:w="1717"/>
        <w:gridCol w:w="1696"/>
        <w:gridCol w:w="1311"/>
        <w:gridCol w:w="1210"/>
        <w:gridCol w:w="1271"/>
        <w:gridCol w:w="1210"/>
        <w:gridCol w:w="1211"/>
      </w:tblGrid>
      <w:tr>
        <w:trPr>
          <w:trHeight w:val="240" w:hRule="atLeast"/>
        </w:trPr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орны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мерзімі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(адам)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санат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санат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санат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төртінші санат</w:t>
            </w:r>
          </w:p>
        </w:tc>
      </w:tr>
      <w:tr>
        <w:trPr>
          <w:trHeight w:val="30" w:hRule="atLeast"/>
        </w:trPr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МӨЗ-ін реконструкциялау және жаңғырту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Sinopec Engineering (Group) Со., Ltd» қазақстандық филиалы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қ., Атырау облысы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2010 - 2016 жж.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«МГҚК «ҚазҚұрылысСервис» 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