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73bd" w14:textId="3d473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1553 қаулысы. Күші жойылды - Қазақстан Республикасы Үкіметінің 2015 жылғы 31 желтоқсандағы № 1193 қаулысымен</w:t>
      </w:r>
    </w:p>
    <w:p>
      <w:pPr>
        <w:spacing w:after="0"/>
        <w:ind w:left="0"/>
        <w:jc w:val="both"/>
      </w:pPr>
      <w:r>
        <w:rPr>
          <w:rFonts w:ascii="Times New Roman"/>
          <w:b w:val="false"/>
          <w:i w:val="false"/>
          <w:color w:val="ff0000"/>
          <w:sz w:val="28"/>
        </w:rPr>
        <w:t xml:space="preserve">      Ескерту. Күші жойылды - ҚР Үкіметінің 31.12.2015 </w:t>
      </w:r>
      <w:r>
        <w:rPr>
          <w:rFonts w:ascii="Times New Roman"/>
          <w:b w:val="false"/>
          <w:i w:val="false"/>
          <w:color w:val="ff0000"/>
          <w:sz w:val="28"/>
        </w:rPr>
        <w:t>№ 1193</w:t>
      </w:r>
      <w:r>
        <w:rPr>
          <w:rFonts w:ascii="Times New Roman"/>
          <w:b w:val="false"/>
          <w:i w:val="false"/>
          <w:color w:val="ff0000"/>
          <w:sz w:val="28"/>
        </w:rPr>
        <w:t xml:space="preserve"> қаулысымен (01.01.2016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51, 648-құжат)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ұйымдардың басшыларына олардың жұмыс нәтижелері бойынша сыйлықақы беру, лауазымдық жалақыларына ынталандыру үстемеақыларын белгілеу, сондай-ақ қаржыландыру жоспары бойынша тиісті мемлекеттік мекемені ұстауға көзделген қаражатты үнемдеу есебінен немесе мемлекеттік басқару органы қазыналық кәсіпорын үшін бекіткен даму жоспары бойынша қаражатты үнемдеу есебінен мемлекеттік басқару органы белгілеген тәртіппен материалдық көмек көрсету;»;</w:t>
      </w:r>
      <w:r>
        <w:br/>
      </w:r>
      <w:r>
        <w:rPr>
          <w:rFonts w:ascii="Times New Roman"/>
          <w:b w:val="false"/>
          <w:i w:val="false"/>
          <w:color w:val="000000"/>
          <w:sz w:val="28"/>
        </w:rPr>
        <w:t>
</w:t>
      </w:r>
      <w:r>
        <w:rPr>
          <w:rFonts w:ascii="Times New Roman"/>
          <w:b w:val="false"/>
          <w:i w:val="false"/>
          <w:color w:val="000000"/>
          <w:sz w:val="28"/>
        </w:rPr>
        <w:t>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кредиторлық берешек болмаған кезде қаржыландыру жоспары бойынша тиісті мемлекеттік мекемені ұстауға көзделген қаражатты үнемдеу есебінен немесе кредиторлық берешегі болмаған кезде мемлекеттік басқару органы қазыналық кәсіпорын үшін бекіткен даму жоспары бойынша қаражатты үнемдеу есебінен салалық келісімде, ұжымдық шартта және (немесе) жұмыс берушінің актісінде белгіленген тәртіппен қызметкерлердің лауазымдық жалақыларына ынталандыру үстемеақыларын белгілеу, сыйлықақы беру және материалдық көмек көрсету құқығы берілсін.»;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«G-14» санатында:</w:t>
      </w:r>
      <w:r>
        <w:br/>
      </w:r>
      <w:r>
        <w:rPr>
          <w:rFonts w:ascii="Times New Roman"/>
          <w:b w:val="false"/>
          <w:i w:val="false"/>
          <w:color w:val="000000"/>
          <w:sz w:val="28"/>
        </w:rPr>
        <w:t>
</w:t>
      </w:r>
      <w:r>
        <w:rPr>
          <w:rFonts w:ascii="Times New Roman"/>
          <w:b w:val="false"/>
          <w:i w:val="false"/>
          <w:color w:val="000000"/>
          <w:sz w:val="28"/>
        </w:rPr>
        <w:t>
      «мұрағатшы» деген сөз «архивариус» деген сөзбен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7-қосымшада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1-жол мынадай мазмұндағы 9) тармақшамен толықтырылсын: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4559"/>
        <w:gridCol w:w="3277"/>
        <w:gridCol w:w="2602"/>
        <w:gridCol w:w="2828"/>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қызметкерлеріне жұмыстағы ауыртпалықтар мен қиындықтары үшін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50 %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4" w:id="1"/>
    <w:p>
      <w:pPr>
        <w:spacing w:after="0"/>
        <w:ind w:left="0"/>
        <w:jc w:val="both"/>
      </w:pPr>
      <w:r>
        <w:rPr>
          <w:rFonts w:ascii="Times New Roman"/>
          <w:b w:val="false"/>
          <w:i w:val="false"/>
          <w:color w:val="000000"/>
          <w:sz w:val="28"/>
        </w:rPr>
        <w:t>
      көрсетілген қаулыға </w:t>
      </w:r>
      <w:r>
        <w:rPr>
          <w:rFonts w:ascii="Times New Roman"/>
          <w:b w:val="false"/>
          <w:i w:val="false"/>
          <w:color w:val="000000"/>
          <w:sz w:val="28"/>
        </w:rPr>
        <w:t>14-қосымшада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3-жол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4784"/>
        <w:gridCol w:w="2827"/>
        <w:gridCol w:w="2827"/>
        <w:gridCol w:w="2828"/>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Күштерде, басқа әскерлерде және әскери құралымдарда, арнаулы мемлекеттік, құқық қорғау органдарында, мемлекеттік өртке қарсы қызмет жүйесіндегі жұмысы үшін жұмысшыларға мынадай еңбек сiңiрген жылдары үшiн:</w:t>
            </w:r>
            <w:r>
              <w:br/>
            </w:r>
            <w:r>
              <w:rPr>
                <w:rFonts w:ascii="Times New Roman"/>
                <w:b w:val="false"/>
                <w:i w:val="false"/>
                <w:color w:val="000000"/>
                <w:sz w:val="20"/>
              </w:rPr>
              <w:t>
</w:t>
            </w:r>
            <w:r>
              <w:rPr>
                <w:rFonts w:ascii="Times New Roman"/>
                <w:b w:val="false"/>
                <w:i w:val="false"/>
                <w:color w:val="000000"/>
                <w:sz w:val="20"/>
              </w:rPr>
              <w:t>3 жылдан астам</w:t>
            </w:r>
            <w:r>
              <w:br/>
            </w:r>
            <w:r>
              <w:rPr>
                <w:rFonts w:ascii="Times New Roman"/>
                <w:b w:val="false"/>
                <w:i w:val="false"/>
                <w:color w:val="000000"/>
                <w:sz w:val="20"/>
              </w:rPr>
              <w:t>
</w:t>
            </w:r>
            <w:r>
              <w:rPr>
                <w:rFonts w:ascii="Times New Roman"/>
                <w:b w:val="false"/>
                <w:i w:val="false"/>
                <w:color w:val="000000"/>
                <w:sz w:val="20"/>
              </w:rPr>
              <w:t>5 жылдан астам</w:t>
            </w:r>
            <w:r>
              <w:br/>
            </w:r>
            <w:r>
              <w:rPr>
                <w:rFonts w:ascii="Times New Roman"/>
                <w:b w:val="false"/>
                <w:i w:val="false"/>
                <w:color w:val="000000"/>
                <w:sz w:val="20"/>
              </w:rPr>
              <w:t>
</w:t>
            </w:r>
            <w:r>
              <w:rPr>
                <w:rFonts w:ascii="Times New Roman"/>
                <w:b w:val="false"/>
                <w:i w:val="false"/>
                <w:color w:val="000000"/>
                <w:sz w:val="20"/>
              </w:rPr>
              <w:t>10 жылдан астам</w:t>
            </w:r>
            <w:r>
              <w:br/>
            </w:r>
            <w:r>
              <w:rPr>
                <w:rFonts w:ascii="Times New Roman"/>
                <w:b w:val="false"/>
                <w:i w:val="false"/>
                <w:color w:val="000000"/>
                <w:sz w:val="20"/>
              </w:rPr>
              <w:t>
</w:t>
            </w:r>
            <w:r>
              <w:rPr>
                <w:rFonts w:ascii="Times New Roman"/>
                <w:b w:val="false"/>
                <w:i w:val="false"/>
                <w:color w:val="000000"/>
                <w:sz w:val="20"/>
              </w:rPr>
              <w:t>15 жылдан астам</w:t>
            </w:r>
            <w:r>
              <w:br/>
            </w:r>
            <w:r>
              <w:rPr>
                <w:rFonts w:ascii="Times New Roman"/>
                <w:b w:val="false"/>
                <w:i w:val="false"/>
                <w:color w:val="000000"/>
                <w:sz w:val="20"/>
              </w:rPr>
              <w:t>
</w:t>
            </w:r>
            <w:r>
              <w:rPr>
                <w:rFonts w:ascii="Times New Roman"/>
                <w:b w:val="false"/>
                <w:i w:val="false"/>
                <w:color w:val="000000"/>
                <w:sz w:val="20"/>
              </w:rPr>
              <w:t>20 жылдан астам</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Күштердегi, басқа әскерлердегі және әскери құралымдардағы, арнаулы мемлекеттік және құқық қорғау органдарындағы, мемлекеттiк өртке қарсы қызметiндегi жұмысы үшiн үстемеақы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ЛЖ-дан 10 %</w:t>
            </w:r>
            <w:r>
              <w:br/>
            </w:r>
            <w:r>
              <w:rPr>
                <w:rFonts w:ascii="Times New Roman"/>
                <w:b w:val="false"/>
                <w:i w:val="false"/>
                <w:color w:val="000000"/>
                <w:sz w:val="20"/>
              </w:rPr>
              <w:t>
</w:t>
            </w:r>
            <w:r>
              <w:rPr>
                <w:rFonts w:ascii="Times New Roman"/>
                <w:b w:val="false"/>
                <w:i w:val="false"/>
                <w:color w:val="000000"/>
                <w:sz w:val="20"/>
              </w:rPr>
              <w:t>ЛЖ-дан 15 %</w:t>
            </w:r>
            <w:r>
              <w:br/>
            </w:r>
            <w:r>
              <w:rPr>
                <w:rFonts w:ascii="Times New Roman"/>
                <w:b w:val="false"/>
                <w:i w:val="false"/>
                <w:color w:val="000000"/>
                <w:sz w:val="20"/>
              </w:rPr>
              <w:t>
</w:t>
            </w:r>
            <w:r>
              <w:rPr>
                <w:rFonts w:ascii="Times New Roman"/>
                <w:b w:val="false"/>
                <w:i w:val="false"/>
                <w:color w:val="000000"/>
                <w:sz w:val="20"/>
              </w:rPr>
              <w:t>ЛЖ-дан 20 %</w:t>
            </w:r>
            <w:r>
              <w:br/>
            </w:r>
            <w:r>
              <w:rPr>
                <w:rFonts w:ascii="Times New Roman"/>
                <w:b w:val="false"/>
                <w:i w:val="false"/>
                <w:color w:val="000000"/>
                <w:sz w:val="20"/>
              </w:rPr>
              <w:t>
</w:t>
            </w:r>
            <w:r>
              <w:rPr>
                <w:rFonts w:ascii="Times New Roman"/>
                <w:b w:val="false"/>
                <w:i w:val="false"/>
                <w:color w:val="000000"/>
                <w:sz w:val="20"/>
              </w:rPr>
              <w:t>ЛЖ-дан 30 %</w:t>
            </w:r>
            <w:r>
              <w:br/>
            </w:r>
            <w:r>
              <w:rPr>
                <w:rFonts w:ascii="Times New Roman"/>
                <w:b w:val="false"/>
                <w:i w:val="false"/>
                <w:color w:val="000000"/>
                <w:sz w:val="20"/>
              </w:rPr>
              <w:t>
</w:t>
            </w:r>
            <w:r>
              <w:rPr>
                <w:rFonts w:ascii="Times New Roman"/>
                <w:b w:val="false"/>
                <w:i w:val="false"/>
                <w:color w:val="000000"/>
                <w:sz w:val="20"/>
              </w:rPr>
              <w:t>ЛЖ-дан 40 %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сіңірген жылдары үшін үстемеақыны белгілеудің тәртібі мен шарттарын уәкілетті орталық орган белгілейді</w:t>
            </w:r>
          </w:p>
        </w:tc>
      </w:tr>
    </w:tbl>
    <w:p>
      <w:pPr>
        <w:spacing w:after="0"/>
        <w:ind w:left="0"/>
        <w:jc w:val="both"/>
      </w:pPr>
      <w:r>
        <w:rPr>
          <w:rFonts w:ascii="Times New Roman"/>
          <w:b w:val="false"/>
          <w:i w:val="false"/>
          <w:color w:val="000000"/>
          <w:sz w:val="28"/>
        </w:rPr>
        <w:t>                                                                   »;</w:t>
      </w:r>
    </w:p>
    <w:bookmarkStart w:name="z18" w:id="2"/>
    <w:p>
      <w:pPr>
        <w:spacing w:after="0"/>
        <w:ind w:left="0"/>
        <w:jc w:val="both"/>
      </w:pPr>
      <w:r>
        <w:rPr>
          <w:rFonts w:ascii="Times New Roman"/>
          <w:b w:val="false"/>
          <w:i w:val="false"/>
          <w:color w:val="000000"/>
          <w:sz w:val="28"/>
        </w:rPr>
        <w:t>
      көрсетілген қаулыға </w:t>
      </w:r>
      <w:r>
        <w:rPr>
          <w:rFonts w:ascii="Times New Roman"/>
          <w:b w:val="false"/>
          <w:i w:val="false"/>
          <w:color w:val="000000"/>
          <w:sz w:val="28"/>
        </w:rPr>
        <w:t>28-қосымшада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1) тармақшаның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даму жоспары бойынша үнемделген қаражаттың жалпы көлемінің 30 % асырмай жыл ішінде, ал желтоқсанда - бір жылда үнемделген қаражаттың толық көлемінде:»;</w:t>
      </w:r>
      <w:r>
        <w:br/>
      </w:r>
      <w:r>
        <w:rPr>
          <w:rFonts w:ascii="Times New Roman"/>
          <w:b w:val="false"/>
          <w:i w:val="false"/>
          <w:color w:val="000000"/>
          <w:sz w:val="28"/>
        </w:rPr>
        <w:t>
</w:t>
      </w:r>
      <w:r>
        <w:rPr>
          <w:rFonts w:ascii="Times New Roman"/>
          <w:b w:val="false"/>
          <w:i w:val="false"/>
          <w:color w:val="000000"/>
          <w:sz w:val="28"/>
        </w:rPr>
        <w:t>
      2) тармақшаның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даму жоспары бойынша үнемделген қаражаттың толық көлемінде:»;</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«Шығыстардың қалған түрлері бойынша даму жоспары бойынша үнемделген қаражатты сыйлықақы беруге, материалдық көмек көрсетуге және үстемеақылар белгілеуге жол берілмейді.».</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