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ddb5" w14:textId="9edd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ақпандағы № 107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«Қазақстан Республикасының Парламенті Шаруашылық басқармасының Автошаруашылығы» шаруашылық жүргізу құқығындағы республикалық мемлекеттік кәсіпорнының теңгерімінен «Медициналық технологиялар және ақпараттық жүйелер орталығы»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Президентінің Іс басқармасымен бірлесіп (келісім бойынша)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технологиялар және ақпараттық жүйелер орталығы»</w:t>
      </w:r>
      <w:r>
        <w:br/>
      </w:r>
      <w:r>
        <w:rPr>
          <w:rFonts w:ascii="Times New Roman"/>
          <w:b/>
          <w:i w:val="false"/>
          <w:color w:val="000000"/>
        </w:rPr>
        <w:t>
акционерлік қоғамының акцияларын төлеуге берілетін, Астана</w:t>
      </w:r>
      <w:r>
        <w:br/>
      </w:r>
      <w:r>
        <w:rPr>
          <w:rFonts w:ascii="Times New Roman"/>
          <w:b/>
          <w:i w:val="false"/>
          <w:color w:val="000000"/>
        </w:rPr>
        <w:t>
қаласы, Республика даңғылы, 62 мекенжайында орналасқан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мүлік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6092"/>
        <w:gridCol w:w="5333"/>
      </w:tblGrid>
      <w:tr>
        <w:trPr>
          <w:trHeight w:val="3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</w:p>
        </w:tc>
      </w:tr>
      <w:tr>
        <w:trPr>
          <w:trHeight w:val="3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автомашиналары гаражы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Жапсарлас құрылысы бар гараж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Автомашиналарға арналған гараж, диспетчерлер бөлмесі, жапсарлас салқын құрылыс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жер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Автомай құю станциясы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Қоршау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7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