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3f46" w14:textId="1f7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"Зоологиялық коллекциялар жинау және оларды мемлекеттiк есепке алу ережесін бекiту туралы" Қазақстан Республикасы Үкіметінің 2004 жылғы 29 желтоқсандағы № 1413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желтоқсандағы № 1562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«Зоологиялық коллекциялар жинау және оларды мемлекеттiк есепке алу ережесін бекiту туралы» Қазақстан Республикасы Үкіметінің 2004 жылғы 29 желтоқсандағы № 1413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658-құжат)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Зоологиялық коллекциялар жинау және оларды мемлекеттiк есепке алу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бақылау»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Зоологиялық коллекцияларға жануарлар дүниесi объектiлерi тұлыптарының, жұмыртқаларының, криоконсервiленген жыныс клеткаларының, препараттары мен бөлiктерiнiң, оның iшiнде хайуанаттар парктері, зообақтар, цирктер, зоологиялық питомниктер, аквариумдер, океанариумдер жабайы жануарларының ғылыми, мәдени-ағартушылық, оқу-тәрбиелiк және эстетикалық құндылығы бар жинағы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Зоологиялық коллекцияның иесi оны мемлекеттiк есепке қою мақсатында қызметтерді жүзеге асыру басталғанға дейін кемінде он жұмыс күні ішінде «Әкімшілік рәсімдер туралы» 2000 жылғы 27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тиiстi уәкiлеттi органды хабардар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Тиiстi уәкiлеттi орган зоологиялық коллекция иесiнің хабарламасына сәйкес оны тізілімге енгізеді.»;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Зоологиялық коллекцияларды Қазақстан Республикасынан тыс жерлерге әкету Кедендік одақтың нормативтік құқықтық актілеріне сәйкес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1-қосымшадағы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