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3250" w14:textId="83b3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төлеуден босатылатын тауарлардың, материалдар мен жабдықтардың тізбесін бекіту туралы" Қазақстан Республикасы Үкіметінің 2011 жылғы 14 желтоқсандағы № 1533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1543 Қаулысы</w:t>
      </w:r>
    </w:p>
    <w:p>
      <w:pPr>
        <w:spacing w:after="0"/>
        <w:ind w:left="0"/>
        <w:jc w:val="both"/>
      </w:pPr>
      <w:bookmarkStart w:name="z1" w:id="0"/>
      <w:r>
        <w:rPr>
          <w:rFonts w:ascii="Times New Roman"/>
          <w:b w:val="false"/>
          <w:i w:val="false"/>
          <w:color w:val="000000"/>
          <w:sz w:val="28"/>
        </w:rPr>
        <w:t xml:space="preserve">
      «Кеден одағының сыртқы экономикалық қызметінің бірыңғай Тауар номенклатурасы мен Кеден одағының Бірыңғай кеден тарифін бекіту туралы» Еуразиялық экономикалық комиссиясы Кеңесінің 2012 жылғы 16 шілдедегі № 54 шешімін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төлеуден босатылатын тауарлардың, материалдар мен жабдықтардың тізбесін бекіту туралы» Қазақстан Республикасы Үкіметінің 2011 жылғы 14 желтоқсандағы № 1533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төлеуден босатылатын тауарлардың, материалдар мен жабдықтардың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4-жол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6573"/>
        <w:gridCol w:w="313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HSAW 1067x11.9 mm, 3РЕ соаt. Мұнай мен газ құбырларына арналған шиыршық жапсарлы, зауыттық оқшауланған, доғалап дәнекерлеу әдісімен дайындалған құбыр Д1067х11,9 mm, Рр7,4 МПа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r>
              <w:br/>
            </w:r>
            <w:r>
              <w:rPr>
                <w:rFonts w:ascii="Times New Roman"/>
                <w:b w:val="false"/>
                <w:i w:val="false"/>
                <w:color w:val="000000"/>
                <w:sz w:val="20"/>
              </w:rPr>
              <w:t>
7306 19 900 0</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реттік немірі 8-жол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6573"/>
        <w:gridCol w:w="313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HSAW 1067x15.9 mm, 3РЕ соаt. Мұнай мен газ құбырларына арналған шиыршық жапсарлы, зауыттық оқшауланған, доғалап дәнекерлеу әдісімен дайындалған құбыр Д1067х15,9, Рр9,8 МПа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r>
              <w:br/>
            </w:r>
            <w:r>
              <w:rPr>
                <w:rFonts w:ascii="Times New Roman"/>
                <w:b w:val="false"/>
                <w:i w:val="false"/>
                <w:color w:val="000000"/>
                <w:sz w:val="20"/>
              </w:rPr>
              <w:t>
7306 19 900 0</w:t>
            </w:r>
          </w:p>
        </w:tc>
      </w:tr>
    </w:tbl>
    <w:p>
      <w:pPr>
        <w:spacing w:after="0"/>
        <w:ind w:left="0"/>
        <w:jc w:val="both"/>
      </w:pP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реттік нөмірлері 57, 58, 59, 60, 61, 62, 63, 64, 65, 66, 67, 68, 69, 70, 71, 72, 73, 74, 75, 76, 77, 78, 79, 80, 81-жолдар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
        <w:gridCol w:w="7433"/>
        <w:gridCol w:w="1"/>
        <w:gridCol w:w="351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30 гр., Ду1067х19.1 мм дәнекерлеу ұшы Х70, Рр=10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ЗОгр., Ду1067х14, 3 мм дәнекерлеу ұшы Х70, Рр=8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 1067x19.1 мм дәнекерлеу ұшы Х70, Рр=8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45гр., Ду1067х19.1 мм дәнекерлеу ұшы Х70, Рр=8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 1067x25.4 мм дәнекерлеу ұшы Х70, Рр=10,0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45гр., Ду 1067x25.4 мм дәнекерлеу ұшы Х70, Рр=10,0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 1067x19.1 мм дәнекерлеу ұшы Х70, Рр=10,0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 1067x14.3 мм дәнекерлеу ұшы Х70, Рр=8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45гр., Ду 1067x14.3 мм дәнекерлеу ұшы Х70, Рр=8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 1067x14.3 мм дәнекерлеу ұшы Х70, Рр=5,4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1067x14.3 мм дәнекерлеу үшы Х70, Рр=5,4 МПа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Ду813х14.3 мм дәнекерлеу ұшы Х70, Рр=10,0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45гр., Ду813х14.3 мм дәнекерлеу ұшы Х70, Рр=10,0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Ду508х8.7 мм дәнекерлеу ұшы Х70, Рр=8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45гр., Ду508х8.7 мм дәнекерлеу ұшы Х70, Рр=8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Ду508х11.1 мм дәнекерлеу ұшы Х70, Рр=10,0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Ду508х 11.1 мм дәнекерлеу ұшы Х70, Рр=10,0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90гр., Ду406х7.1 мм дәнекерлеу ұшы Х70, Рр=8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Ду406х7.1 мм дәнекерлеу ұшы Х70, Рр=8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Ду406х9.5 мм дәнекерлеу ұшы Х70, Рр=10.0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90гр., Ду324х5.6 мм дәнекерлеу ұшы Х70, Рр=8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45гр., Ду324х5.6 мм дәнекерлеу ұшы Х70, Рр=8МПа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Ду324х5.6 мм дәнекерлеу ұшы Х70, Рр=5,4МПа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90гр., Ду324х9.5 мм дәнекерлеу ұшы Х70, Рр=10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45гр., Ду324х9.5 мм дәнекерлеу ұшы Х70, Рр=10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bl>
    <w:p>
      <w:pPr>
        <w:spacing w:after="0"/>
        <w:ind w:left="0"/>
        <w:jc w:val="both"/>
      </w:pP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реттік нөмірлері 90, 91, 92, 93, 94-жолдар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7413"/>
        <w:gridCol w:w="299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PSU300-DС-10 үшін 18-60 Vdc N42 қоректендіру блогы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N415 шасси үшін 18-60Vdc (120W) қоректендіру блогы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 N70 шасси үшін 18-60Vdc (1000W) қоректендіру блогы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OTN/OTN-X3M шасси үшін 230 Vас қоректендіру кәбілі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8544 49 950 0</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N50/N70 шасси үшін 230 Vас қоректендіру кәбілі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8544 49 950 0</w:t>
            </w:r>
          </w:p>
        </w:tc>
      </w:tr>
    </w:tbl>
    <w:p>
      <w:pPr>
        <w:spacing w:after="0"/>
        <w:ind w:left="0"/>
        <w:jc w:val="both"/>
      </w:pP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реттік нөмірлері 98, 99, 100, 101, 102, 103, 104, 105-жолдар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7373"/>
        <w:gridCol w:w="299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шассиге арналған BORA2500-X3M-ULM150-4 желілік картасы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N415 шассиге арналған BORA2500-X3M-ULM150-4 желілік картасы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 шассиге арналған BORA2500-X3M-ULM150-8 желілік картасы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МРЕG-Audi картасы (4 бейне порт + 4 стерео аудио порт)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RS485 интерфейсіне деректерді беру үшін жауап беретін карта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ЕТ-100АЕ Интернетін 5 Ethernet жеке буынға бөлуге арналған карта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етуі бар компакт диск (қағаз жүзіндегі лицензия қоса ұсынылады).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8523 49 450 0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MVidIP цифрлық бейне үшін бейне картасы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bl>
    <w:p>
      <w:pPr>
        <w:spacing w:after="0"/>
        <w:ind w:left="0"/>
        <w:jc w:val="both"/>
      </w:pP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реттік нөмірі 117-жол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7293"/>
        <w:gridCol w:w="297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RSХММ платасы (RS-232, RS-422 интерфейстерін жіберу)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bl>
    <w:p>
      <w:pPr>
        <w:spacing w:after="0"/>
        <w:ind w:left="0"/>
        <w:jc w:val="both"/>
      </w:pPr>
      <w:r>
        <w:rPr>
          <w:rFonts w:ascii="Times New Roman"/>
          <w:b w:val="false"/>
          <w:i w:val="false"/>
          <w:color w:val="000000"/>
          <w:sz w:val="28"/>
        </w:rPr>
        <w:t>»;</w:t>
      </w:r>
    </w:p>
    <w:bookmarkStart w:name="z10" w:id="6"/>
    <w:p>
      <w:pPr>
        <w:spacing w:after="0"/>
        <w:ind w:left="0"/>
        <w:jc w:val="both"/>
      </w:pPr>
      <w:r>
        <w:rPr>
          <w:rFonts w:ascii="Times New Roman"/>
          <w:b w:val="false"/>
          <w:i w:val="false"/>
          <w:color w:val="000000"/>
          <w:sz w:val="28"/>
        </w:rPr>
        <w:t>
      реттік нөмірі 119-жол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7273"/>
        <w:gridCol w:w="295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шасси үшін ВОRА-OTN150-4 желілік картасы (SFP модульдерсіз)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8542 31 909 9</w:t>
            </w:r>
          </w:p>
        </w:tc>
      </w:tr>
    </w:tbl>
    <w:p>
      <w:pPr>
        <w:spacing w:after="0"/>
        <w:ind w:left="0"/>
        <w:jc w:val="both"/>
      </w:pP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реттік нөмірлері 126, 127-жолдар мынадай редакцияда жазылсын: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7333"/>
        <w:gridCol w:w="289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арналы гибрид-фериттік комбайнер радиосигналды күшейтуге арналған, байланыстың көп арналы жүйелерінің құрамында 4 таратқыштың қуатын біріктіру құрылғысы ретінде пайдаланылады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8518 40 800 0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АШК және преселекторы бар 4 арнаға арналған қабылдағыш таратушы панель, 30 дБ-ға дейін күшейту. Сонымен қатар байланыстың көп арналы жүйелерінің құрамында 4 таратқыштың қуатын біріктіру құрылғысы ретінде пайдалануға арналған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bl>
    <w:p>
      <w:pPr>
        <w:spacing w:after="0"/>
        <w:ind w:left="0"/>
        <w:jc w:val="both"/>
      </w:pP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реттік нөмірлері 129, 130,131-жолдар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7313"/>
        <w:gridCol w:w="291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Жолақтық қабылдау сүзгісі. Диапазондық жолақтық сүзгілер қатар жұмыс істеп тұрған бірнеше таратқыштардың радиоэлектрондық үйлесімділігін қамтамасыз етуге арналған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блогы, резервтік қоректендіруді ұстап тұру арқылы резервке алу және АКБ зарядтау өзінде қоректендірудің желілік көзі жоқ аппаратураны қоректендіруге арналған. Олар әрқашан көрсетілген параметрлерді ескере отырып, жүктемені қоректендіруді қамтамасыз етуі тиіс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Радиожелілік фидерлік кәбіл-қолданудың негізгі саласы байланыстың ұялы және спутниктік телекоммуникациялық жүйелері болып табылады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8544 49 930 9</w:t>
            </w:r>
          </w:p>
        </w:tc>
      </w:tr>
    </w:tbl>
    <w:p>
      <w:pPr>
        <w:spacing w:after="0"/>
        <w:ind w:left="0"/>
        <w:jc w:val="both"/>
      </w:pP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реттік нөмірі 133-жол мынадай редакцияда жазылсын: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7373"/>
        <w:gridCol w:w="28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Дуплексер (оқшаулау 80 дБ, 1,5дБ-ден аспайтын шығындар) - электр сүзгісі бір мезетте бір антеннаға қабылдауға және одан таратуға, қажет емес сигналдарды кесіп тастап, екі сигналды бір антеннаға жеткізуге мүмкіндік береді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bl>
    <w:p>
      <w:pPr>
        <w:spacing w:after="0"/>
        <w:ind w:left="0"/>
        <w:jc w:val="both"/>
      </w:pPr>
      <w:r>
        <w:rPr>
          <w:rFonts w:ascii="Times New Roman"/>
          <w:b w:val="false"/>
          <w:i w:val="false"/>
          <w:color w:val="000000"/>
          <w:sz w:val="28"/>
        </w:rPr>
        <w:t>»;</w:t>
      </w:r>
    </w:p>
    <w:bookmarkStart w:name="z14" w:id="10"/>
    <w:p>
      <w:pPr>
        <w:spacing w:after="0"/>
        <w:ind w:left="0"/>
        <w:jc w:val="both"/>
      </w:pPr>
      <w:r>
        <w:rPr>
          <w:rFonts w:ascii="Times New Roman"/>
          <w:b w:val="false"/>
          <w:i w:val="false"/>
          <w:color w:val="000000"/>
          <w:sz w:val="28"/>
        </w:rPr>
        <w:t>
      реттік нөмірі 149-жол мынадай редакцияда жазылсын: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7373"/>
        <w:gridCol w:w="28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токты тұрақтыға түрлендіру және осы токты реттеуге, газ құбырында қорғау әлеуетін ұстап тұруға арналған, сол арқылы коррозиядан қорғауды қамтамасыз ете отырып, катодтық қорғау станциясы (түрлендіргіш-түзеткіш)</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bl>
    <w:p>
      <w:pPr>
        <w:spacing w:after="0"/>
        <w:ind w:left="0"/>
        <w:jc w:val="both"/>
      </w:pP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