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a8484" w14:textId="30a84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"Жарылғыш материалдарды сатып алу, сақтау, есепке алу, тасымалдау, әкелу және әкету қағидаларын бекіту туралы" Қазақстан Республикасы Үкіметінің 2011 жылғы 7 қарашадағы № 1302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29 қарашадағы № 1502 Қаулысы. Күші жойылды - Қазақстан Республикасы Үкіметінің 2016 жылғы 4 ақпандағы № 53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04.02.2016 </w:t>
      </w:r>
      <w:r>
        <w:rPr>
          <w:rFonts w:ascii="Times New Roman"/>
          <w:b w:val="false"/>
          <w:i w:val="false"/>
          <w:color w:val="ff0000"/>
          <w:sz w:val="28"/>
        </w:rPr>
        <w:t>№ 53</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bookmarkStart w:name="z2" w:id="1"/>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«Жарылғыш материалдарды сатып алу, сақтау, есепке алу, тасымалдау, әкелу және әкету қағидаларын бекіту туралы» Қазақстан Республикасы Үкіметінің 2011 жылғы 7 қарашадағы № 1302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2012 ж., № 2, 18-құжат)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Жарылғыш материалдарды сатып алу, сақтау, есепке алу, тасымалдау, әкелу және әкету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«27. Жарылғыш материалдарды тасымалдау «Темір жол көлігі туралы» 2001 жылғы 8 желтоқсандағы, «Қазақстан Республикасының әуе кеңістігін пайдалану және авиация қызметі туралы» 2010 жылғы 15 шілдедегі Қазақстан Республикасының заңдарына, Қазақстан Республикасы Үкіметінің «Автомобиль көлiгiмен қауіптi жүктердi тасымалдау жөнiндегi кейбiр мәселелер туралы» 2004 жылғы 12 наурыздағы № 316, «Темір жол көлігімен жүк тасымалдау қағидасын бекіту туралы» 2011 жылғы 21 маусымдағы № 682, «Ішкі су көлігімен қауіпті жүктерді тасымалдау қағидасын бекіту туралы» 2011 жылғы 21 шілдедегі № 839 қаулыларына сәйкес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28</w:t>
      </w:r>
      <w:r>
        <w:rPr>
          <w:rFonts w:ascii="Times New Roman"/>
          <w:b w:val="false"/>
          <w:i w:val="false"/>
          <w:color w:val="000000"/>
          <w:sz w:val="28"/>
        </w:rPr>
        <w:t>, </w:t>
      </w:r>
      <w:r>
        <w:rPr>
          <w:rFonts w:ascii="Times New Roman"/>
          <w:b w:val="false"/>
          <w:i w:val="false"/>
          <w:color w:val="000000"/>
          <w:sz w:val="28"/>
        </w:rPr>
        <w:t>29-тармақтар</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30-тармақ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«30. Жарылғыш материалдарды қала, аудан шегінде, бір және сол кәсіпорынға тиесілі қоймадан басқа қоймаларға тасымалдау наряд-жүкқұжаты бойынша, ал жару жұмыстарын жүргізу орындарына (жарылғыш материалдарды пайдалану немесе сынау) наряд-жүкқұжат немесе наряд-жолдама бойынша жүргізіледі.»;</w:t>
      </w:r>
      <w:r>
        <w:br/>
      </w:r>
      <w:r>
        <w:rPr>
          <w:rFonts w:ascii="Times New Roman"/>
          <w:b w:val="false"/>
          <w:i w:val="false"/>
          <w:color w:val="000000"/>
          <w:sz w:val="28"/>
        </w:rPr>
        <w:t>
</w:t>
      </w:r>
      <w:r>
        <w:rPr>
          <w:rFonts w:ascii="Times New Roman"/>
          <w:b w:val="false"/>
          <w:i w:val="false"/>
          <w:color w:val="000000"/>
          <w:sz w:val="28"/>
        </w:rPr>
        <w:t>
      32-тармақтың </w:t>
      </w:r>
      <w:r>
        <w:rPr>
          <w:rFonts w:ascii="Times New Roman"/>
          <w:b w:val="false"/>
          <w:i w:val="false"/>
          <w:color w:val="000000"/>
          <w:sz w:val="28"/>
        </w:rPr>
        <w:t>12)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«12) жарылғыш материалдарды автомобиль көлігімен тасымалдаған жағдайда, қауіпті жүкті тасымалдаудың жол полициясы органдарымен келісілген бағыты ұсынылады.».</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1"/>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