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5ec4" w14:textId="11d5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6 қарашадағы № 1405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«ұжымдық негізде мүліктік құқықтарды басқаратын ұйымдар мен пайдаланушылардың арасындағы туындыларды және сабақтас құқықтар объектілерін пайдаланудың тиісті тәсілдеріне жасалған лицензиялық шарттарды тіркеу, мемлекеттік тіркеу куәліктерін беру» деген бір жүз қырық төртінші абзацы алынып тасталсын;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Үкіметінің 28.01.2014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1-тармаққа өзгеріс енгізілді - ҚР Үкіметінің 28.01.2014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