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1108" w14:textId="6141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"Әскери мүлiктi есепке алу және есептен шығару ережесін бекіту туралы" 2005 жылғы 28 шілдедегі № 787 және "Әскери мүлік айналымының кейбір мәселелері" туралы 2008 жылғы 16 шілдедегі № 687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11 қазандағы № 1289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"Әскери мүлiктi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Әскери мүлiктi есепке алу және есептен шығару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 Есептен шығаруға жататын мүлiк техникалық жай-күйiнiң бекітілген актiсiн немесе куәлігін алғанға дейiн жойылмайды, бөлшектенбейдi немесе оқу құралы ретiнде пайдаланылмайды.</w:t>
      </w:r>
    </w:p>
    <w:bookmarkEnd w:id="4"/>
    <w:bookmarkStart w:name="z7" w:id="5"/>
    <w:p>
      <w:pPr>
        <w:spacing w:after="0"/>
        <w:ind w:left="0"/>
        <w:jc w:val="both"/>
      </w:pPr>
      <w:r>
        <w:rPr>
          <w:rFonts w:ascii="Times New Roman"/>
          <w:b w:val="false"/>
          <w:i w:val="false"/>
          <w:color w:val="000000"/>
          <w:sz w:val="28"/>
        </w:rPr>
        <w:t>
      Тіркелiмдерге, есепке алу кiтаптарына (карточкаларға) мүлiктi есептен шығару туралы жазу агрегаттарды, тораптарды, аспаптарды, бөлшектерді, материалдарды, металл сынығын және есептен шығарылған мүлiктi бөлшектеуден алынған басқа да мүлiк кiрiске алынғаннан немесе кәдеге жарату актісі жасалғаннан кейiн ғана бекітілген техникалық немесе сапалық жай-күйiнiң өзгеруi актiлері (куәлiктері) негізiнде жүргізiледi.</w:t>
      </w:r>
    </w:p>
    <w:bookmarkEnd w:id="5"/>
    <w:bookmarkStart w:name="z8" w:id="6"/>
    <w:p>
      <w:pPr>
        <w:spacing w:after="0"/>
        <w:ind w:left="0"/>
        <w:jc w:val="both"/>
      </w:pPr>
      <w:r>
        <w:rPr>
          <w:rFonts w:ascii="Times New Roman"/>
          <w:b w:val="false"/>
          <w:i w:val="false"/>
          <w:color w:val="000000"/>
          <w:sz w:val="28"/>
        </w:rPr>
        <w:t>
      Техникалық жай-күйінің актiлері немесе сапалық жай-күйiнiң өзгеруi актiлері (куәлiктері) бекітілген жөндеу және оқу-жаттығу мақсаттары үшін жарамсыз агрегаттар, тораптар, аспаптар, бөлшектер, материалдар мен бөлшектеуден алынған басқа да мүлiк тіркелiмдер, есепке алу кiтаптары (карточкалары) бойынша металл сынығы, ескі зат және басқа да мүлiк ретінде кіріске алынады және ол пайдалану, сату немесе кәдеге жарату шамасына қарай есептен шығарылады.";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бірінші бөліктің 9) тармақшасы мынадай редакцияда жазылсын:</w:t>
      </w:r>
    </w:p>
    <w:bookmarkEnd w:id="7"/>
    <w:bookmarkStart w:name="z12" w:id="8"/>
    <w:p>
      <w:pPr>
        <w:spacing w:after="0"/>
        <w:ind w:left="0"/>
        <w:jc w:val="both"/>
      </w:pPr>
      <w:r>
        <w:rPr>
          <w:rFonts w:ascii="Times New Roman"/>
          <w:b w:val="false"/>
          <w:i w:val="false"/>
          <w:color w:val="000000"/>
          <w:sz w:val="28"/>
        </w:rPr>
        <w:t>
      "9) техникалық немесе сапалық жай-күйiнiң өзгеруi актілерінiң уақтылы жасалуына және мүлiктi бөлшектеудiң жүзеге асырылуына бақылау жүзеге асырылады.";</w:t>
      </w:r>
    </w:p>
    <w:bookmarkEnd w:id="8"/>
    <w:bookmarkStart w:name="z13" w:id="9"/>
    <w:p>
      <w:pPr>
        <w:spacing w:after="0"/>
        <w:ind w:left="0"/>
        <w:jc w:val="both"/>
      </w:pPr>
      <w:r>
        <w:rPr>
          <w:rFonts w:ascii="Times New Roman"/>
          <w:b w:val="false"/>
          <w:i w:val="false"/>
          <w:color w:val="000000"/>
          <w:sz w:val="28"/>
        </w:rPr>
        <w:t>
      екінші бөлік мынадай редакцияда жазылсын:</w:t>
      </w:r>
    </w:p>
    <w:bookmarkEnd w:id="9"/>
    <w:bookmarkStart w:name="z14" w:id="10"/>
    <w:p>
      <w:pPr>
        <w:spacing w:after="0"/>
        <w:ind w:left="0"/>
        <w:jc w:val="both"/>
      </w:pPr>
      <w:r>
        <w:rPr>
          <w:rFonts w:ascii="Times New Roman"/>
          <w:b w:val="false"/>
          <w:i w:val="false"/>
          <w:color w:val="000000"/>
          <w:sz w:val="28"/>
        </w:rPr>
        <w:t>
      "Өлшеу құралдарының (оның iшiнде кiрiктiрілген) техникалық жай-күйi актілеріне олардың жарамсыздығы туралы метрологиялық органның (әскери бөлiмнің өлшеу техникасы базасының немесе зертханасының) куәлiктері қоса берiледi.";</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жетінші бөлігі мынадай редакцияда жазылсын:</w:t>
      </w:r>
    </w:p>
    <w:bookmarkStart w:name="z16" w:id="11"/>
    <w:p>
      <w:pPr>
        <w:spacing w:after="0"/>
        <w:ind w:left="0"/>
        <w:jc w:val="both"/>
      </w:pPr>
      <w:r>
        <w:rPr>
          <w:rFonts w:ascii="Times New Roman"/>
          <w:b w:val="false"/>
          <w:i w:val="false"/>
          <w:color w:val="000000"/>
          <w:sz w:val="28"/>
        </w:rPr>
        <w:t>
      "Техникалық жай-күйi актiсi және оған қоса берiлген құжаттар түскен күннен бастап екi апта мерзiмде әскери басқару және қамтамасыз ету органдарында оларды ресiмдеудiң дұрыстығы тексеріледi және қажет болған жағдайда мүліктi есептен шығарудың орындылығы, заңдылығы және бөлшектеу тәртібі туралы қорытынды беріледi, содан кейiн техникалық жай-күйi актісi белгiленген тәртiппен бекітуге ұсынылады. Бұл ретте техникалық жай-күйі актісiнiң барлық даналары мекеме мөрiнiң бедерлемесiмен бекiтіледi және куәландырылады, содан кейiн бірiншi данасы әскери бөлiмге қайтарылады, екiншiсi – оны бекiткен жоғары тұрған қамтамасыз ету органдарының iстерінде сақталады.";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"17. Техникалық жай-күйiнiң бекітілген актiсi онда көрсетiлген мүлiктi әскери бөлiмнің есебiнен шығару және есепке алу тiркелiмдерi, кiтаптары мен карточкалары бойынша бөлшектеуден алынған агрегаттарды, тораптарды, аспаптарды, бөлшектерді, материалдарды, металл сынығы мен басқа да мүлiктi кiрiске алуға сапалық жай-күйiнiң өзгеруi актiсiн (осы Ережеге </w:t>
      </w:r>
      <w:r>
        <w:rPr>
          <w:rFonts w:ascii="Times New Roman"/>
          <w:b w:val="false"/>
          <w:i w:val="false"/>
          <w:color w:val="000000"/>
          <w:sz w:val="28"/>
        </w:rPr>
        <w:t>2-қосымша)</w:t>
      </w:r>
      <w:r>
        <w:rPr>
          <w:rFonts w:ascii="Times New Roman"/>
          <w:b w:val="false"/>
          <w:i w:val="false"/>
          <w:color w:val="000000"/>
          <w:sz w:val="28"/>
        </w:rPr>
        <w:t xml:space="preserve"> жасауға негiз болады.</w:t>
      </w:r>
    </w:p>
    <w:bookmarkEnd w:id="12"/>
    <w:bookmarkStart w:name="z19" w:id="13"/>
    <w:p>
      <w:pPr>
        <w:spacing w:after="0"/>
        <w:ind w:left="0"/>
        <w:jc w:val="both"/>
      </w:pPr>
      <w:r>
        <w:rPr>
          <w:rFonts w:ascii="Times New Roman"/>
          <w:b w:val="false"/>
          <w:i w:val="false"/>
          <w:color w:val="000000"/>
          <w:sz w:val="28"/>
        </w:rPr>
        <w:t>
      18. Қару-жараққа, техника мен мүлiкке техникалық қызмет көрсетудiң және жөндеудiң регламенттік жұмыстарын жүргiзген, өндiрiстiк және шаруашылық-тұрмыстық мұқтаждар кезiнде жұмсалған шығыс және пайдалану материалдары, зымыран отыны, жанармай, қосалқы бөлшектер және қосалқы құралдар мен керек-жарақтар (бұдан әрi – ҚҚЖ) бөлiмшелерден қолданыстағы нормаларға сәйкес есептен шығару актілері (нұсқама) бойынша, ал жөндеу бөлiмшелерiнен (шеберханалардан) орындалған жұмыстар актілері бойынша есептен шығарылады.</w:t>
      </w:r>
    </w:p>
    <w:bookmarkEnd w:id="13"/>
    <w:bookmarkStart w:name="z20" w:id="14"/>
    <w:p>
      <w:pPr>
        <w:spacing w:after="0"/>
        <w:ind w:left="0"/>
        <w:jc w:val="both"/>
      </w:pPr>
      <w:r>
        <w:rPr>
          <w:rFonts w:ascii="Times New Roman"/>
          <w:b w:val="false"/>
          <w:i w:val="false"/>
          <w:color w:val="000000"/>
          <w:sz w:val="28"/>
        </w:rPr>
        <w:t>
      Регламенттік жұмыстар, техникалық қызмет көрсету немесе жөндеу кезінде қару-жарақ пен техникадан алынған ақаулы агрегаттар, құралдар мен ҚҚЖ сапалық жай-күйiнiң өзгеруі актісі бойынша әскери бөлiмнің есебінен шығарылады.";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"22. Ұшу аппараттарын пайдаланған кезде жұмсалған жанар-жағармай материалдарын, этил спиртi мен оның қоспаларын есептен шығару тарату ведомосын, ұшу парағын немесе жоспарлы кестеден үзіндіні қоса бере отырып, жанар-жағармай материалдарын есептен шығару актілері бойынша, стационарлық және жылжымалы агрегаттарды (станцияларды) пайдаланған кезде – агрегаттардың жұмыс парақтары бойынша, радиорелейлiк (тропосфералық) станциялардың қуатты агрегаттарын және аппараттық жерүстi байланыс тораптарын пайдаланған кезде – электр агрегаттарының машиналық журналдарынан үзiндiлер бойынша, техниканы пайдаланған кезде – жол парақтары бойынша жүзеге асырылады.</w:t>
      </w:r>
    </w:p>
    <w:bookmarkEnd w:id="15"/>
    <w:bookmarkStart w:name="z23" w:id="16"/>
    <w:p>
      <w:pPr>
        <w:spacing w:after="0"/>
        <w:ind w:left="0"/>
        <w:jc w:val="both"/>
      </w:pPr>
      <w:r>
        <w:rPr>
          <w:rFonts w:ascii="Times New Roman"/>
          <w:b w:val="false"/>
          <w:i w:val="false"/>
          <w:color w:val="000000"/>
          <w:sz w:val="28"/>
        </w:rPr>
        <w:t>
      23. Әскери машиналардағы майларды есептен шығару қозғалтқышта іс жүзінде жанған, оны ауыстырған кезде қозғалтқышты майлау жүйесiнен (корабльдерде циркуляциялық май жүйесiнен) құйып алынған, қызмет көрсету кезеңдiлігі мен ауқымына сәйкес қозғалтқышты және күш берілiсi агрегаттарын, бөлшектер мен тораптарды майлау жүйесiн жуу үшiн пайдаланылған мөлшерінде жүргiзіледi. Майды шығысқа есептен шығару:</w:t>
      </w:r>
    </w:p>
    <w:bookmarkEnd w:id="16"/>
    <w:bookmarkStart w:name="z24" w:id="17"/>
    <w:p>
      <w:pPr>
        <w:spacing w:after="0"/>
        <w:ind w:left="0"/>
        <w:jc w:val="both"/>
      </w:pPr>
      <w:r>
        <w:rPr>
          <w:rFonts w:ascii="Times New Roman"/>
          <w:b w:val="false"/>
          <w:i w:val="false"/>
          <w:color w:val="000000"/>
          <w:sz w:val="28"/>
        </w:rPr>
        <w:t>
      1) пайдаланылатын жерүстi әскери техникасында – шығыс нормаларына сәйкес жол жүру парақтары бойынша;</w:t>
      </w:r>
    </w:p>
    <w:bookmarkEnd w:id="17"/>
    <w:bookmarkStart w:name="z25" w:id="18"/>
    <w:p>
      <w:pPr>
        <w:spacing w:after="0"/>
        <w:ind w:left="0"/>
        <w:jc w:val="both"/>
      </w:pPr>
      <w:r>
        <w:rPr>
          <w:rFonts w:ascii="Times New Roman"/>
          <w:b w:val="false"/>
          <w:i w:val="false"/>
          <w:color w:val="000000"/>
          <w:sz w:val="28"/>
        </w:rPr>
        <w:t>
      2) сақтауда тұрған машиналарда – шығыс нормалары шегiнде іс жүзінде пайдалану бойынша орындалған жұмыстар актілерi бойынша;</w:t>
      </w:r>
    </w:p>
    <w:bookmarkEnd w:id="18"/>
    <w:bookmarkStart w:name="z26" w:id="19"/>
    <w:p>
      <w:pPr>
        <w:spacing w:after="0"/>
        <w:ind w:left="0"/>
        <w:jc w:val="both"/>
      </w:pPr>
      <w:r>
        <w:rPr>
          <w:rFonts w:ascii="Times New Roman"/>
          <w:b w:val="false"/>
          <w:i w:val="false"/>
          <w:color w:val="000000"/>
          <w:sz w:val="28"/>
        </w:rPr>
        <w:t>
      3) корабльдерде және басқа да машиналар мен агрегаттарда және қозғалтқыштарда – машинаның (агрегаттың, қозғалтқыштың) жұмысын есепке алу карточкасы бойынша жүргiзiледi.</w:t>
      </w:r>
    </w:p>
    <w:bookmarkEnd w:id="19"/>
    <w:bookmarkStart w:name="z27" w:id="20"/>
    <w:p>
      <w:pPr>
        <w:spacing w:after="0"/>
        <w:ind w:left="0"/>
        <w:jc w:val="both"/>
      </w:pPr>
      <w:r>
        <w:rPr>
          <w:rFonts w:ascii="Times New Roman"/>
          <w:b w:val="false"/>
          <w:i w:val="false"/>
          <w:color w:val="000000"/>
          <w:sz w:val="28"/>
        </w:rPr>
        <w:t>
      Сақтауда тұрған машиналарды майлау жүйесiндегі май қолда бар ретiнде есепке алынады.</w:t>
      </w:r>
    </w:p>
    <w:bookmarkEnd w:id="20"/>
    <w:bookmarkStart w:name="z28" w:id="21"/>
    <w:p>
      <w:pPr>
        <w:spacing w:after="0"/>
        <w:ind w:left="0"/>
        <w:jc w:val="both"/>
      </w:pPr>
      <w:r>
        <w:rPr>
          <w:rFonts w:ascii="Times New Roman"/>
          <w:b w:val="false"/>
          <w:i w:val="false"/>
          <w:color w:val="000000"/>
          <w:sz w:val="28"/>
        </w:rPr>
        <w:t>
      24. Майлаулар мен арнайы сұйықтықтарды (этил спиртi мен қалыпты қататын салқындатқыш сұйықтықтан басқа), оның iшiнде тежегiш және улы техникалық сұйықтықтарды есептен шығару осы сұйықтықтарды пайдалануды бекiткеннен кейiн жүргiзілген жөндеу, регламенттiк жұмыстар және басқа да мұқтаждарға пайдалану актілері бойынша жүргізiледi. Этил спиртi мен оның қоспаларын есептен шығару регламенттiк жұмыстарға, жабдықтарды жөндеуге және басқа да мақсаттарға – шығыс нормалары шегiнде есептен шығару актілері бойынша жүргiзiледi.</w:t>
      </w:r>
    </w:p>
    <w:bookmarkEnd w:id="21"/>
    <w:bookmarkStart w:name="z29" w:id="22"/>
    <w:p>
      <w:pPr>
        <w:spacing w:after="0"/>
        <w:ind w:left="0"/>
        <w:jc w:val="both"/>
      </w:pPr>
      <w:r>
        <w:rPr>
          <w:rFonts w:ascii="Times New Roman"/>
          <w:b w:val="false"/>
          <w:i w:val="false"/>
          <w:color w:val="000000"/>
          <w:sz w:val="28"/>
        </w:rPr>
        <w:t>
      Этил спиртiн, сондай-ақ улы техникалық сұйықтықтарды шығысқа есептен шығару актілерiне белгiленген нормаларға сәйкес олардың болжамды шығысы есебi қоса берiледi.";</w:t>
      </w:r>
    </w:p>
    <w:bookmarkEnd w:id="22"/>
    <w:bookmarkStart w:name="z30" w:id="2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осы қаулыға қосымшаға сәйкес жаңа редакцияда жазылсын;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06.11.2019 </w:t>
      </w:r>
      <w:r>
        <w:rPr>
          <w:rFonts w:ascii="Times New Roman"/>
          <w:b w:val="false"/>
          <w:i w:val="false"/>
          <w:color w:val="000000"/>
          <w:sz w:val="28"/>
        </w:rPr>
        <w:t>№ 832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06.11.2019 </w:t>
      </w:r>
      <w:r>
        <w:rPr>
          <w:rFonts w:ascii="Times New Roman"/>
          <w:b w:val="false"/>
          <w:i w:val="false"/>
          <w:color w:val="000000"/>
          <w:sz w:val="28"/>
        </w:rPr>
        <w:t>№ 832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қазандағы</w:t>
            </w:r>
            <w:r>
              <w:br/>
            </w:r>
            <w:r>
              <w:rPr>
                <w:rFonts w:ascii="Times New Roman"/>
                <w:b w:val="false"/>
                <w:i w:val="false"/>
                <w:color w:val="000000"/>
                <w:sz w:val="20"/>
              </w:rPr>
              <w:t>№ 1289 қаулысына</w:t>
            </w:r>
            <w:r>
              <w:br/>
            </w:r>
            <w:r>
              <w:rPr>
                <w:rFonts w:ascii="Times New Roman"/>
                <w:b w:val="false"/>
                <w:i w:val="false"/>
                <w:color w:val="000000"/>
                <w:sz w:val="20"/>
              </w:rPr>
              <w:t>қосымша</w:t>
            </w:r>
            <w:r>
              <w:br/>
            </w:r>
            <w:r>
              <w:rPr>
                <w:rFonts w:ascii="Times New Roman"/>
                <w:b w:val="false"/>
                <w:i w:val="false"/>
                <w:color w:val="000000"/>
                <w:sz w:val="20"/>
              </w:rPr>
              <w:t>Әскери мүлiктi есепке алу</w:t>
            </w:r>
            <w:r>
              <w:br/>
            </w:r>
            <w:r>
              <w:rPr>
                <w:rFonts w:ascii="Times New Roman"/>
                <w:b w:val="false"/>
                <w:i w:val="false"/>
                <w:color w:val="000000"/>
                <w:sz w:val="20"/>
              </w:rPr>
              <w:t>және есептен шығару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(лауазымы, әскери атағы)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 ж. "__"_____________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мүліктiң атауы</w:t>
      </w:r>
    </w:p>
    <w:p>
      <w:pPr>
        <w:spacing w:after="0"/>
        <w:ind w:left="0"/>
        <w:jc w:val="both"/>
      </w:pPr>
      <w:r>
        <w:rPr>
          <w:rFonts w:ascii="Times New Roman"/>
          <w:b w:val="false"/>
          <w:i w:val="false"/>
          <w:color w:val="000000"/>
          <w:sz w:val="28"/>
        </w:rPr>
        <w:t>
      сапалық жай-күйi өзгеруiнің</w:t>
      </w:r>
    </w:p>
    <w:p>
      <w:pPr>
        <w:spacing w:after="0"/>
        <w:ind w:left="0"/>
        <w:jc w:val="left"/>
      </w:pPr>
      <w:r>
        <w:rPr>
          <w:rFonts w:ascii="Times New Roman"/>
          <w:b/>
          <w:i w:val="false"/>
          <w:color w:val="000000"/>
        </w:rPr>
        <w:t xml:space="preserve"> №________ АКТIСI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4"/>
        <w:gridCol w:w="2610"/>
        <w:gridCol w:w="2012"/>
        <w:gridCol w:w="1134"/>
        <w:gridCol w:w="437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негізі (мақсаты)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нөмiрi</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бөлiм (бөлiмше, қойма)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Құжаттармен танысу, қарау (тексеру) кезiнде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940"/>
        <w:gridCol w:w="1940"/>
        <w:gridCol w:w="1940"/>
        <w:gridCol w:w="1940"/>
        <w:gridCol w:w="1940"/>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есептелді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134"/>
        <w:gridCol w:w="1760"/>
        <w:gridCol w:w="1760"/>
        <w:gridCol w:w="2603"/>
        <w:gridCol w:w="1761"/>
        <w:gridCol w:w="1762"/>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нөмірі</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(сорты, тығыздығы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(басқа санатқа ауыстыру себептерi, сорты, жекелеген тораптарды, аспаптарды, қосалқы бөлшектерді, бөлшектерді, басқа да мүлiктi пайдаланудың мақсатқа сәйкестігі)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Комиссия мүшелерi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Комиссия мүшелерi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Үлкен бастықтың қорытындысы _________________________________________        М.О 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 "____"__________</w:t>
      </w:r>
    </w:p>
    <w:p>
      <w:pPr>
        <w:spacing w:after="0"/>
        <w:ind w:left="0"/>
        <w:jc w:val="both"/>
      </w:pPr>
      <w:r>
        <w:rPr>
          <w:rFonts w:ascii="Times New Roman"/>
          <w:b w:val="false"/>
          <w:i w:val="false"/>
          <w:color w:val="000000"/>
          <w:sz w:val="28"/>
        </w:rPr>
        <w:t>
            8-14-бағандарда көрсетілген бөлшектеуден алынған тораптарды, аспаптарды, қосалқы бөлшектерді, бөлшектер мен басқа да мүлiктi жауапты сақтауға қабылдадым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 "____"__________</w:t>
      </w:r>
    </w:p>
    <w:p>
      <w:pPr>
        <w:spacing w:after="0"/>
        <w:ind w:left="0"/>
        <w:jc w:val="both"/>
      </w:pPr>
      <w:r>
        <w:rPr>
          <w:rFonts w:ascii="Times New Roman"/>
          <w:b w:val="false"/>
          <w:i w:val="false"/>
          <w:color w:val="000000"/>
          <w:sz w:val="28"/>
        </w:rPr>
        <w:t>
            Бухгалтерлiк есеп бойынша жүргізілдi: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20 ___ ж.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