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379f" w14:textId="91b3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ережесiн бекiту туралы" Қазақстан Республикасы Үкіметінің 2006 жылғы 5 сәуірдегі № 248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14 қыркүйектегі № 1201 Қаулысы. Күші жойылды - Қазақстан Республикасы Үкіметінің 2015 жылғы 23 желтоқсандағы № 1034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ережесiн бекiту туралы» Қазақстан Республикасы Үкіметінің 2006 жылғы 5 сәуірдегі № 248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12, 113-құжат)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Ауыз сумен жабдықтаудың баламасыз көзі болып табылатын сумен жабдықтаудың топтық су құбырлары және оқшау жүйелері бөлінісінде су берушілер үшін берілген ауыз судың 1 (бір) текше метріне бөлінетін, Республикалық бюджет комиссиясы мақұлдаған, тиісті қаржы жылдарына арналған субсидиялар мөлшерін табиғи монополиялар және реттелетін нарықтар салаларындағы басшылықты жүзеге асыратын уәкілетті мемлекеттік орган бекіткен ауыз су беру жөнінде көрсетілетін қызметтерге арналған тарифтің айырмасы ретінде»;</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