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7901" w14:textId="2da7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маусымдағы № 885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2012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231-1-жолмен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4840"/>
        <w:gridCol w:w="3009"/>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су тереңдігі 2,5 метрден кем емес, бірақ 5,5 метрден аспайтын тереңдігі 6000 метрге дейін мұнай және газ ұңғымаларын бұрғылау үшін батырылмалы бұрғылау қондырғылары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8905 20 000 2</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Осы қаулы 2012 жылғы 1 шілдеден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