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d673" w14:textId="35ad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2012 жылғы 20 сәуірдегі № 499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Табиғи ресурстар және табиғат пайдалануды реттеу басқармасының «Қосқұдық ормандар және жануарлар дүниесiн қорғау жөнiндегi мемлекеттiк мекемесi» мемлекеттік мекемесінің жалпы алаңы 505,0 гектар жер учаскелері мемлекеттік орман қоры жерлері санатынан өнеркәсіп, көлік, байланыс, қорғаныс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Жамбыл облысының әкімі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химия өнеркәсібі объектілерін салу және оларға қызмет көрсету үшін Қазақстан Республикасының заңнамасында белгілеген тәртіппен «Біріккен химиялық компания» жауапкершілігі шектеулі серіктестігіне (бұдан әрі – серіктестік) берілуін қамтамасыз етcін.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ауыл шаруашылығын жүргізумен байланысты емес мақсаттарда пайдалану үшін ауыл шаруашылығы жерлерін алып қоюдан туындаған ауыл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499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қорғаныс және өзге де ауыл шаруашылығы мақсатындағы емес жерлер санатына ауыстырылатын орман қоры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995"/>
        <w:gridCol w:w="1273"/>
        <w:gridCol w:w="1295"/>
        <w:gridCol w:w="1825"/>
        <w:gridCol w:w="1361"/>
        <w:gridCol w:w="1671"/>
        <w:gridCol w:w="1295"/>
        <w:gridCol w:w="1451"/>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көмкермеген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Табиғи ресурстар және табиғатты пайдалануды реттеу басқармасының Қосқұдық ормандар мен жануарлар дүниесін қорғау жөніндегі мемлекеттік мекемесі» мемлекеттік мекемесі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