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e00" w14:textId="7ce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қоғамдастықтың Дағдарысқа қарсы қоры шеңберінде вексельдердің айналымына байланысты кейбір мәселелер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қаңтардағы № 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«Еуразиялық экономикалық қоғамдастықтың Дағдарысқа қарсы қоры шеңберінде вексельдердің айналымына байланысты кейбір мәселелер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Еуразиялық экономикалық қоғамдастықтың Дағдарысқа қарсы</w:t>
      </w:r>
      <w:r>
        <w:br/>
      </w:r>
      <w:r>
        <w:rPr>
          <w:rFonts w:ascii="Times New Roman"/>
          <w:b/>
          <w:i w:val="false"/>
          <w:color w:val="000000"/>
        </w:rPr>
        <w:t>
қоры шеңберінде вексельдердің айналымына байланысты</w:t>
      </w:r>
      <w:r>
        <w:br/>
      </w:r>
      <w:r>
        <w:rPr>
          <w:rFonts w:ascii="Times New Roman"/>
          <w:b/>
          <w:i w:val="false"/>
          <w:color w:val="000000"/>
        </w:rPr>
        <w:t>
кейбір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«Еуразиялық экономикалық қоғамдастықтың Дағдарысқа қарсы қорын құру туралы шартты ратификациялау туралы» Қазақстан Республикасының 2009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қоғамдастықтың Дағдарысқа қарсы қорын құру туралы 2009 жылғы 9 маусымдағы шартқа сәйкес Еуразиялық экономикалық қоғамдастықтың Дағдарысқа қарсы қорына Қазақстан Республикасының бастапқы жарнасының 90 %-ын (тоқсан пайызын) төлеу есебіне 900000000 (тоғыз жүз миллион) АҚШ доллары мөлшерінде Еуразиялық экономикалық қоғамдастықтың Дағдарысқа қарсы қоры Кеңесінің шешімімен (2010 жылғы 21 қаңтардағы № 2 хаттама) бекітілген нысан бойынша қарапайым, айналымға түспейтін және пайызсыз вексель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министрі Болат Бидахметұлы Жәмішевке Қазақстан Республикасының атынан қарапайым, айналымға түспейтін және пайызсыз вексельге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