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960a" w14:textId="78c9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Консулдық жарғысын бекіту туралы" Қазақстан Республикасы Президентінің 1999 жылғы 27 қыркүйектегі № 217 Жарлығына өзгеріс пен толықтырулар енгізу туралы" Қазақстан Республикасы Президентінің Жарлығы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қаңтардағы № 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Консулдық жарғысын бекіту туралы» Қазақстан Республикасы Президентінің 1999 жылғы 27 қыркүйектегі № 217 Жарлығына өзгеріс пен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«Қазақстан Республикасының Консулдық жарғысын бекіту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1999 жылғы 27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217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дипломатиялық қызметі туралы» 2002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шетелдердегі консулдық мекемелерінің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Консулдық жарғысын бекіту туралы» Қазақстан Республикасы Президентінің 1999 жылғы 27 қыркүйектегі № 217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47, 430-құжат; 2004 ж., № 51, 670-құжат, 2008 ж., № 31, 308-құжат)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Консулдық жарғысында: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4-тарау мынадай мазмұндағы 24-1-тармақпен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Қазақстан Республикасының консулдық округ аумағындағы азаматтарының құқықтары мен мүдделерін қорғау және қамтамасыз ету мақсатында консул оларға Қазақстан Республикасының заңнамасына сәйкес жәрдем көрсетеді.»;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«12-1-тарау. Қазақстан Республикасы азаматтарының сайлау құқығын іске асыруда консулдың оларға жәрдем көрсету жөніндегі функциялары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42-1. Консул Қазақстан Республикасының азаматтарына олардың сайлау құқықтарын іске асыруда, Қазақстан Республикасының заңнамасында белгіленген сайлау құқығының қағидаттарын сақтауда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Президентін, Парламент Мәжілісінің партиялық тізімдер бойынша сайланатын депутаттарын сайлауды және республикалық референдумды өткізу кезінде шетелдік мекеменің үй-жайында сайлау учаскесі құрылса, Консул сол мемлекеттің билік органдарын бұл туралы ресми түрде хабардар етеді.».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3-бөлімнің 15-тарауының 47, 48-тармақтары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Шетелдерде және Қазақстан Республикасының аумағында орындалатын консулдық іс-әрекет үшін «Салық және бюджетке төленетін басқа да міндетті төлемдер туралы»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белгіленетін тәртіппен консулдық алымдар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Консулдық алымның ставкалары, оны алу, төлеу, есепке алу және төлеуден босату тәртібі «Салық және бюджетке төленетін басқа да міндетті төлемдер туралы»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Ақорда,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