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c09" w14:textId="1f9b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 комитетінің түзеу мекемелеріндегі жалпы білім беру мектептерінің штат санын жергілікті атқарушы органдардың қарамағына беру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 комитетінің «ЛА-155/4 мекемесі» және «ЛА-155/6 мекемесі» мемлекеттік мекемелері жалпы білім беру мектептерінің штат саны, 15 бірлік санында Алматы облысының және Алматы қаласының жергілікті атқарушы органдарының қарамағына берілсін.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министрлігі, оның аумақтық органдарын және оған ведомстволық бағыныстағы мемлекеттік мекемелерді ескере отырып, оның ішінде:» деген жолдағы «126017» сандар «126002»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министрлігіне ведомстволық бағыныстағы мемлекеттік мекемелер, оның ішінде:» деген жолдағы «60026» сандар «60011»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«Түзеу мекемелері» деген жолдағы «9854» сандар «9839»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Білім және ғылым министрліктері, Алматы облысы мен Алматы қаласының әкімдері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