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b6c9" w14:textId="690b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 Қазақстан Республикасы Үкіметінің 2011 жылғы 1 шілдедегі № 750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29 желтоқсандағы № 1632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 Қазақстан Республикасы Үкіметінің 2011 жылғы 1 шілдедегі № 750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Ағымдағы нысаналы трансферттер ауыл шаруашылығы жануарларын бірдейлендіруді ұйымдастыру мен жүргізуге байланысты шығыстарды жабуға бағытталған және мыналарды көздейді:</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жануарларына (ұсақ мал, жылқы, түйе, шошқа) арналған ветеринариялық паспорттарды дайындау жөніндегі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(ұсақ мал, түйе, шошқа) бірдейлендіруді жүргізуге арналған ветеринариялық мақсаттағы бұйымдар мен атрибуттарды (құлақ жапсырмаларын) сатып алуды жүзеге асыру;</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жүргізуге арналған (таңбалауға және жапсырмалауға арналған) аппарат сатып алуды жүзеге асыру;</w:t>
      </w:r>
      <w:r>
        <w:br/>
      </w:r>
      <w:r>
        <w:rPr>
          <w:rFonts w:ascii="Times New Roman"/>
          <w:b w:val="false"/>
          <w:i w:val="false"/>
          <w:color w:val="000000"/>
          <w:sz w:val="28"/>
        </w:rPr>
        <w:t>
</w:t>
      </w:r>
      <w:r>
        <w:rPr>
          <w:rFonts w:ascii="Times New Roman"/>
          <w:b w:val="false"/>
          <w:i w:val="false"/>
          <w:color w:val="000000"/>
          <w:sz w:val="28"/>
        </w:rPr>
        <w:t>
      4) жануарлардың жеке нөмірлерін салыстырып оқуға арналған сканерді және өзі желімделетін штрих-кодтарды басып шығаруға арналған принтер сатып алуды жүзеге асыру.»;</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ветеринария саласындағы қызметті жүзеге асыратын жергілікті атқарушы органдарының бөлімшелері ауыл шаруашылығы жануарларына арналған ветеринариялық паспорттарды дайындау қызметтерін (бұдан әрі - қызметтер), ветеринариялық мақсаттағы бұйымдар мен атрибуттарды (құлақ жапсырмаларын), ауыл шаруашылығы жануарларын бірдейлендіруді жүргізуге арналған аппаратты, жануарлардың жеке нөмірлерін салыстырып оқуға арналған сканерді, өзі желімделетін штрих-кодтарды басып шығаруға арналған принтерді (бұдан әрі - тауар) мемлекеттік сатып алуды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