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6423" w14:textId="89f6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1398 Қаулысы</w:t>
      </w:r>
    </w:p>
    <w:p>
      <w:pPr>
        <w:spacing w:after="0"/>
        <w:ind w:left="0"/>
        <w:jc w:val="both"/>
      </w:pPr>
      <w:bookmarkStart w:name="z1" w:id="0"/>
      <w:r>
        <w:rPr>
          <w:rFonts w:ascii="Times New Roman"/>
          <w:b w:val="false"/>
          <w:i w:val="false"/>
          <w:color w:val="000000"/>
          <w:sz w:val="28"/>
        </w:rPr>
        <w:t>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саяси, экономикалық және әлеуметтік тұрақтылығына немесе оның әкімшілік-аумақтық бірлігіне қауіп төндіретін ахуалдың туындауын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комиссиясына бесінші сайланатын Қазақстан Республикасы Парламентінің Мәжілісі депутаттарының кезектен тыс сайлауын және Қазақстан Республикасы мәслихаттары депутаттарының кезекті сайлауын өткізуге 2011 жылға арналған республикалық бюджетте көзделген Қазақстан Республикасы Үкіметінің шұғыл шығындарға арналған резервінен 3150000000 (үш миллиард бір жүз елу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оған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